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E2" w:rsidRDefault="00367BE2" w:rsidP="003F5A90">
      <w:pPr>
        <w:spacing w:before="120"/>
        <w:jc w:val="center"/>
        <w:rPr>
          <w:b/>
        </w:rPr>
      </w:pPr>
    </w:p>
    <w:p w:rsidR="002A1C16" w:rsidRPr="003F5A90" w:rsidRDefault="002A1C16" w:rsidP="003F5A90">
      <w:pPr>
        <w:spacing w:before="120"/>
        <w:jc w:val="center"/>
        <w:rPr>
          <w:b/>
        </w:rPr>
      </w:pPr>
      <w:r w:rsidRPr="002A1C16">
        <w:rPr>
          <w:b/>
        </w:rPr>
        <w:t>National Taxpayers Union Foundation</w:t>
      </w:r>
      <w:r w:rsidR="00A7031C">
        <w:rPr>
          <w:b/>
        </w:rPr>
        <w:t>’</w:t>
      </w:r>
      <w:r w:rsidRPr="002A1C16">
        <w:rPr>
          <w:b/>
        </w:rPr>
        <w:t>s Cost Analysis of the President</w:t>
      </w:r>
      <w:r w:rsidR="00A7031C">
        <w:rPr>
          <w:b/>
        </w:rPr>
        <w:t>’</w:t>
      </w:r>
      <w:r w:rsidRPr="002A1C16">
        <w:rPr>
          <w:b/>
        </w:rPr>
        <w:t>s 201</w:t>
      </w:r>
      <w:r w:rsidR="005B6F7B">
        <w:rPr>
          <w:b/>
        </w:rPr>
        <w:t>5</w:t>
      </w:r>
      <w:r w:rsidRPr="002A1C16">
        <w:rPr>
          <w:b/>
        </w:rPr>
        <w:t xml:space="preserve"> State of the Union Address</w:t>
      </w:r>
    </w:p>
    <w:p w:rsidR="002A1C16" w:rsidRDefault="002A1C16"/>
    <w:p w:rsidR="00262DE9" w:rsidRDefault="00262DE9"/>
    <w:tbl>
      <w:tblPr>
        <w:tblW w:w="11076"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720"/>
        <w:gridCol w:w="4050"/>
        <w:gridCol w:w="2160"/>
        <w:gridCol w:w="4146"/>
      </w:tblGrid>
      <w:tr w:rsidR="004943A4" w:rsidRPr="004943A4" w:rsidTr="00AE7C7E">
        <w:tc>
          <w:tcPr>
            <w:tcW w:w="720" w:type="dxa"/>
            <w:tcBorders>
              <w:top w:val="double" w:sz="4" w:space="0" w:color="auto"/>
              <w:bottom w:val="double" w:sz="4" w:space="0" w:color="auto"/>
            </w:tcBorders>
          </w:tcPr>
          <w:p w:rsidR="004943A4" w:rsidRPr="002D4E19" w:rsidRDefault="004943A4" w:rsidP="002D4E19">
            <w:pPr>
              <w:jc w:val="center"/>
              <w:rPr>
                <w:b/>
              </w:rPr>
            </w:pPr>
            <w:r w:rsidRPr="002D4E19">
              <w:rPr>
                <w:b/>
              </w:rPr>
              <w:t>Item</w:t>
            </w:r>
          </w:p>
        </w:tc>
        <w:tc>
          <w:tcPr>
            <w:tcW w:w="4050" w:type="dxa"/>
            <w:tcBorders>
              <w:top w:val="double" w:sz="4" w:space="0" w:color="auto"/>
              <w:bottom w:val="double" w:sz="4" w:space="0" w:color="auto"/>
            </w:tcBorders>
          </w:tcPr>
          <w:p w:rsidR="004943A4" w:rsidRPr="002D4E19" w:rsidRDefault="000C71FB" w:rsidP="003D0E6D">
            <w:pPr>
              <w:jc w:val="center"/>
              <w:rPr>
                <w:b/>
              </w:rPr>
            </w:pPr>
            <w:r w:rsidRPr="002D4E19">
              <w:rPr>
                <w:b/>
                <w:snapToGrid w:val="0"/>
                <w:color w:val="000000"/>
              </w:rPr>
              <w:t>Issue (quoted from text)</w:t>
            </w:r>
          </w:p>
        </w:tc>
        <w:tc>
          <w:tcPr>
            <w:tcW w:w="2160" w:type="dxa"/>
            <w:tcBorders>
              <w:top w:val="double" w:sz="4" w:space="0" w:color="auto"/>
              <w:bottom w:val="double" w:sz="4" w:space="0" w:color="auto"/>
            </w:tcBorders>
          </w:tcPr>
          <w:p w:rsidR="004943A4" w:rsidRPr="002D4E19" w:rsidRDefault="000C71FB" w:rsidP="002D4E19">
            <w:pPr>
              <w:jc w:val="center"/>
              <w:rPr>
                <w:b/>
              </w:rPr>
            </w:pPr>
            <w:r w:rsidRPr="002D4E19">
              <w:rPr>
                <w:b/>
                <w:snapToGrid w:val="0"/>
                <w:color w:val="000000"/>
              </w:rPr>
              <w:t xml:space="preserve">Annual </w:t>
            </w:r>
            <w:r w:rsidR="00800882">
              <w:rPr>
                <w:b/>
                <w:snapToGrid w:val="0"/>
                <w:color w:val="000000"/>
              </w:rPr>
              <w:t xml:space="preserve">Net </w:t>
            </w:r>
            <w:r w:rsidRPr="002D4E19">
              <w:rPr>
                <w:b/>
                <w:snapToGrid w:val="0"/>
                <w:color w:val="000000"/>
              </w:rPr>
              <w:t>Spending Increase/Decrease (in billions)</w:t>
            </w:r>
          </w:p>
        </w:tc>
        <w:tc>
          <w:tcPr>
            <w:tcW w:w="4146" w:type="dxa"/>
            <w:tcBorders>
              <w:top w:val="double" w:sz="4" w:space="0" w:color="auto"/>
              <w:bottom w:val="double" w:sz="4" w:space="0" w:color="auto"/>
            </w:tcBorders>
          </w:tcPr>
          <w:p w:rsidR="004943A4" w:rsidRPr="002D4E19" w:rsidRDefault="004943A4" w:rsidP="003D0E6D">
            <w:pPr>
              <w:jc w:val="center"/>
              <w:rPr>
                <w:b/>
              </w:rPr>
            </w:pPr>
            <w:r w:rsidRPr="002D4E19">
              <w:rPr>
                <w:b/>
              </w:rPr>
              <w:t>Source/Note</w:t>
            </w:r>
          </w:p>
        </w:tc>
      </w:tr>
      <w:tr w:rsidR="00A35824" w:rsidRPr="004943A4" w:rsidTr="00AE7C7E">
        <w:tc>
          <w:tcPr>
            <w:tcW w:w="720" w:type="dxa"/>
            <w:vAlign w:val="bottom"/>
          </w:tcPr>
          <w:p w:rsidR="00A35824" w:rsidRDefault="00A35824">
            <w:pPr>
              <w:rPr>
                <w:color w:val="000000"/>
                <w:sz w:val="20"/>
                <w:szCs w:val="20"/>
              </w:rPr>
            </w:pPr>
          </w:p>
        </w:tc>
        <w:tc>
          <w:tcPr>
            <w:tcW w:w="4050" w:type="dxa"/>
            <w:vAlign w:val="center"/>
          </w:tcPr>
          <w:p w:rsidR="00A35824" w:rsidRPr="00A35824" w:rsidRDefault="00A35824" w:rsidP="00485EFD">
            <w:pPr>
              <w:rPr>
                <w:b/>
                <w:bCs/>
                <w:color w:val="000000"/>
              </w:rPr>
            </w:pPr>
            <w:r w:rsidRPr="00A35824">
              <w:rPr>
                <w:b/>
                <w:bCs/>
                <w:color w:val="000000"/>
              </w:rPr>
              <w:t>Total:</w:t>
            </w:r>
          </w:p>
        </w:tc>
        <w:tc>
          <w:tcPr>
            <w:tcW w:w="2160" w:type="dxa"/>
            <w:vAlign w:val="bottom"/>
          </w:tcPr>
          <w:p w:rsidR="00A35824" w:rsidRPr="00A35824" w:rsidRDefault="00A7031C" w:rsidP="00E71600">
            <w:pPr>
              <w:jc w:val="center"/>
              <w:rPr>
                <w:b/>
                <w:bCs/>
                <w:color w:val="000000"/>
              </w:rPr>
            </w:pPr>
            <w:r>
              <w:rPr>
                <w:b/>
                <w:bCs/>
                <w:color w:val="000000"/>
              </w:rPr>
              <w:t>$40.967</w:t>
            </w:r>
          </w:p>
        </w:tc>
        <w:tc>
          <w:tcPr>
            <w:tcW w:w="4146" w:type="dxa"/>
            <w:vAlign w:val="center"/>
          </w:tcPr>
          <w:p w:rsidR="00A35824" w:rsidRDefault="00A35824" w:rsidP="003D0E6D">
            <w:pPr>
              <w:rPr>
                <w:color w:val="000000"/>
                <w:sz w:val="20"/>
                <w:szCs w:val="20"/>
              </w:rPr>
            </w:pPr>
          </w:p>
        </w:tc>
      </w:tr>
      <w:tr w:rsidR="00A7031C" w:rsidRPr="004943A4" w:rsidTr="00A7031C">
        <w:tc>
          <w:tcPr>
            <w:tcW w:w="720" w:type="dxa"/>
            <w:vAlign w:val="bottom"/>
          </w:tcPr>
          <w:p w:rsidR="00A7031C" w:rsidRPr="00A7031C" w:rsidRDefault="00A7031C">
            <w:pPr>
              <w:jc w:val="right"/>
              <w:rPr>
                <w:color w:val="000000"/>
                <w:sz w:val="18"/>
                <w:szCs w:val="18"/>
              </w:rPr>
            </w:pPr>
            <w:r w:rsidRPr="00A7031C">
              <w:rPr>
                <w:color w:val="000000"/>
                <w:sz w:val="18"/>
                <w:szCs w:val="18"/>
              </w:rPr>
              <w:t>1</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 xml:space="preserve"> ... [M]y plan will make quality childcare more available, and more affordable, for every middle-class and low-income family with young children in America – by creating more slots and a new tax cut of up to $3,000 per child, per year.</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$3.458</w:t>
            </w:r>
          </w:p>
        </w:tc>
        <w:tc>
          <w:tcPr>
            <w:tcW w:w="4146" w:type="dxa"/>
          </w:tcPr>
          <w:p w:rsidR="00A7031C" w:rsidRDefault="00A7031C" w:rsidP="00531270">
            <w:pPr>
              <w:rPr>
                <w:sz w:val="18"/>
                <w:szCs w:val="18"/>
              </w:rPr>
            </w:pPr>
            <w:r w:rsidRPr="00A7031C">
              <w:rPr>
                <w:sz w:val="18"/>
                <w:szCs w:val="18"/>
              </w:rPr>
              <w:t xml:space="preserve">The phrase </w:t>
            </w:r>
            <w:r>
              <w:rPr>
                <w:sz w:val="18"/>
                <w:szCs w:val="18"/>
              </w:rPr>
              <w:t>“</w:t>
            </w:r>
            <w:r w:rsidRPr="00A7031C">
              <w:rPr>
                <w:sz w:val="18"/>
                <w:szCs w:val="18"/>
              </w:rPr>
              <w:t>[b]y creating more [childcare] slots</w:t>
            </w:r>
            <w:r>
              <w:rPr>
                <w:sz w:val="18"/>
                <w:szCs w:val="18"/>
              </w:rPr>
              <w:t>”</w:t>
            </w:r>
            <w:r w:rsidRPr="00A7031C">
              <w:rPr>
                <w:sz w:val="18"/>
                <w:szCs w:val="18"/>
              </w:rPr>
              <w:t xml:space="preserve"> </w:t>
            </w:r>
            <w:r w:rsidR="007E513C">
              <w:rPr>
                <w:sz w:val="18"/>
                <w:szCs w:val="18"/>
              </w:rPr>
              <w:t>indicates a</w:t>
            </w:r>
            <w:r w:rsidRPr="00A7031C">
              <w:rPr>
                <w:sz w:val="18"/>
                <w:szCs w:val="18"/>
              </w:rPr>
              <w:t xml:space="preserve"> repeat </w:t>
            </w:r>
            <w:r w:rsidR="007E513C">
              <w:rPr>
                <w:sz w:val="18"/>
                <w:szCs w:val="18"/>
              </w:rPr>
              <w:t>of the President’s 2014 proposal</w:t>
            </w:r>
            <w:r w:rsidR="007E513C" w:rsidRPr="00A7031C">
              <w:rPr>
                <w:sz w:val="18"/>
                <w:szCs w:val="18"/>
              </w:rPr>
              <w:t xml:space="preserve"> </w:t>
            </w:r>
            <w:r w:rsidRPr="00A7031C">
              <w:rPr>
                <w:sz w:val="18"/>
                <w:szCs w:val="18"/>
              </w:rPr>
              <w:t xml:space="preserve">for </w:t>
            </w:r>
            <w:r>
              <w:rPr>
                <w:sz w:val="18"/>
                <w:szCs w:val="18"/>
              </w:rPr>
              <w:t>“</w:t>
            </w:r>
            <w:r w:rsidRPr="00A7031C">
              <w:rPr>
                <w:sz w:val="18"/>
                <w:szCs w:val="18"/>
              </w:rPr>
              <w:t>Preschool for All</w:t>
            </w:r>
            <w:r w:rsidR="007E513C">
              <w:rPr>
                <w:sz w:val="18"/>
                <w:szCs w:val="18"/>
              </w:rPr>
              <w:t>.” Last year’s budget estimated this would cost</w:t>
            </w:r>
            <w:r w:rsidRPr="00A7031C">
              <w:rPr>
                <w:sz w:val="18"/>
                <w:szCs w:val="18"/>
              </w:rPr>
              <w:t xml:space="preserve"> $17.291 billion over five years. http://www.whitehouse.gov/sites/default/files/omb/budget/fy2015/assets/tables.pdf</w:t>
            </w:r>
            <w:r w:rsidR="00405332">
              <w:rPr>
                <w:sz w:val="18"/>
                <w:szCs w:val="18"/>
              </w:rPr>
              <w:t xml:space="preserve">              </w:t>
            </w:r>
            <w:r w:rsidRPr="00A7031C">
              <w:rPr>
                <w:sz w:val="18"/>
                <w:szCs w:val="18"/>
              </w:rPr>
              <w:t xml:space="preserve"> </w:t>
            </w:r>
          </w:p>
          <w:p w:rsidR="007E513C" w:rsidRDefault="007E513C" w:rsidP="00531270">
            <w:pPr>
              <w:rPr>
                <w:sz w:val="18"/>
                <w:szCs w:val="18"/>
              </w:rPr>
            </w:pPr>
          </w:p>
          <w:p w:rsidR="00A7031C" w:rsidRPr="00A7031C" w:rsidRDefault="00A7031C" w:rsidP="00531270">
            <w:pPr>
              <w:rPr>
                <w:sz w:val="18"/>
                <w:szCs w:val="18"/>
              </w:rPr>
            </w:pPr>
            <w:r w:rsidRPr="00A7031C">
              <w:rPr>
                <w:sz w:val="18"/>
                <w:szCs w:val="18"/>
              </w:rPr>
              <w:t>The President has also proposed to increase the nonrefundable Child and Dependent Care Tax Credit.</w:t>
            </w:r>
            <w:r w:rsidR="00A36880">
              <w:rPr>
                <w:sz w:val="18"/>
                <w:szCs w:val="18"/>
              </w:rPr>
              <w:t xml:space="preserve"> Last year’s budget proposal would have made it “refundable” </w:t>
            </w:r>
            <w:r w:rsidR="00A36880" w:rsidRPr="00A7031C">
              <w:rPr>
                <w:color w:val="000000"/>
                <w:sz w:val="18"/>
                <w:szCs w:val="18"/>
              </w:rPr>
              <w:t xml:space="preserve">which </w:t>
            </w:r>
            <w:r w:rsidR="00A36880">
              <w:rPr>
                <w:color w:val="000000"/>
                <w:sz w:val="18"/>
                <w:szCs w:val="18"/>
              </w:rPr>
              <w:t xml:space="preserve">would </w:t>
            </w:r>
            <w:r w:rsidR="00A36880" w:rsidRPr="00A7031C">
              <w:rPr>
                <w:color w:val="000000"/>
                <w:sz w:val="18"/>
                <w:szCs w:val="18"/>
              </w:rPr>
              <w:t>result in new spending to the extent that the tax credit exceeds a filer’s income tax liability.</w:t>
            </w:r>
            <w:r w:rsidR="00A36880">
              <w:rPr>
                <w:color w:val="000000"/>
                <w:sz w:val="18"/>
                <w:szCs w:val="18"/>
              </w:rPr>
              <w:t xml:space="preserve"> The White House estimated it would increase outlays by $1.751 billion from FY 2016 through FY 2020. </w:t>
            </w:r>
            <w:r w:rsidR="00A36880" w:rsidRPr="00A36880">
              <w:rPr>
                <w:color w:val="000000"/>
                <w:sz w:val="18"/>
                <w:szCs w:val="18"/>
              </w:rPr>
              <w:t>http://www.whitehouse.gov/sites/default/files/omb/budget/fy2015/assets/tables.pdf</w:t>
            </w:r>
          </w:p>
        </w:tc>
      </w:tr>
      <w:tr w:rsidR="00A7031C" w:rsidRPr="004943A4" w:rsidTr="00A7031C">
        <w:tc>
          <w:tcPr>
            <w:tcW w:w="720" w:type="dxa"/>
            <w:vAlign w:val="bottom"/>
          </w:tcPr>
          <w:p w:rsidR="00A7031C" w:rsidRPr="00A7031C" w:rsidRDefault="00A7031C">
            <w:pPr>
              <w:jc w:val="right"/>
              <w:rPr>
                <w:color w:val="000000"/>
                <w:sz w:val="18"/>
                <w:szCs w:val="18"/>
              </w:rPr>
            </w:pPr>
            <w:r w:rsidRPr="00A7031C">
              <w:rPr>
                <w:color w:val="000000"/>
                <w:sz w:val="18"/>
                <w:szCs w:val="18"/>
              </w:rPr>
              <w:t>2</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 xml:space="preserve"> ... I</w:t>
            </w:r>
            <w:r>
              <w:rPr>
                <w:sz w:val="18"/>
                <w:szCs w:val="18"/>
              </w:rPr>
              <w:t>’</w:t>
            </w:r>
            <w:r w:rsidRPr="00A7031C">
              <w:rPr>
                <w:sz w:val="18"/>
                <w:szCs w:val="18"/>
              </w:rPr>
              <w:t>ll be taking new action to help states adopt paid leave laws of their own.</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$2.235</w:t>
            </w:r>
          </w:p>
        </w:tc>
        <w:tc>
          <w:tcPr>
            <w:tcW w:w="4146" w:type="dxa"/>
          </w:tcPr>
          <w:p w:rsidR="00A7031C" w:rsidRPr="00A7031C" w:rsidRDefault="00A7031C" w:rsidP="00531270">
            <w:pPr>
              <w:rPr>
                <w:sz w:val="18"/>
                <w:szCs w:val="18"/>
              </w:rPr>
            </w:pPr>
            <w:r w:rsidRPr="00A7031C">
              <w:rPr>
                <w:sz w:val="18"/>
                <w:szCs w:val="18"/>
              </w:rPr>
              <w:t>http://www.whitehouse.gov/the-press-office/2015/01/14/fact-sheet-white-house-unveils-new-steps-strengthen-working-families-acr</w:t>
            </w:r>
          </w:p>
        </w:tc>
      </w:tr>
      <w:tr w:rsidR="00A7031C" w:rsidRPr="004943A4" w:rsidTr="00A7031C">
        <w:tc>
          <w:tcPr>
            <w:tcW w:w="720" w:type="dxa"/>
            <w:vAlign w:val="bottom"/>
          </w:tcPr>
          <w:p w:rsidR="00A7031C" w:rsidRPr="00A7031C" w:rsidRDefault="00A7031C">
            <w:pPr>
              <w:jc w:val="right"/>
              <w:rPr>
                <w:color w:val="000000"/>
                <w:sz w:val="18"/>
                <w:szCs w:val="18"/>
              </w:rPr>
            </w:pPr>
            <w:r w:rsidRPr="00A7031C">
              <w:rPr>
                <w:color w:val="000000"/>
                <w:sz w:val="18"/>
                <w:szCs w:val="18"/>
              </w:rPr>
              <w:t>3</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Send me a bill that gives every worker in America the opportunity to earn seven days of paid sick leave. It</w:t>
            </w:r>
            <w:r>
              <w:rPr>
                <w:sz w:val="18"/>
                <w:szCs w:val="18"/>
              </w:rPr>
              <w:t>’</w:t>
            </w:r>
            <w:r w:rsidRPr="00A7031C">
              <w:rPr>
                <w:sz w:val="18"/>
                <w:szCs w:val="18"/>
              </w:rPr>
              <w:t>s the right thing to do.</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$0.003</w:t>
            </w:r>
          </w:p>
        </w:tc>
        <w:tc>
          <w:tcPr>
            <w:tcW w:w="4146" w:type="dxa"/>
          </w:tcPr>
          <w:p w:rsidR="00A7031C" w:rsidRDefault="00A7031C" w:rsidP="00531270">
            <w:pPr>
              <w:rPr>
                <w:sz w:val="18"/>
                <w:szCs w:val="18"/>
              </w:rPr>
            </w:pPr>
            <w:r w:rsidRPr="00A7031C">
              <w:rPr>
                <w:sz w:val="18"/>
                <w:szCs w:val="18"/>
              </w:rPr>
              <w:t xml:space="preserve">Related legislation was introduced in the 113th Congress as H.R. 1286/S. 631, the Healthy Families Act. It would allow all employees to earn up to seven days of paid sick leave, or one hour of sick time for every 30 hours worked. This would impact the private sector as an unfunded mandate. The legislation also calls </w:t>
            </w:r>
            <w:r w:rsidR="00531270">
              <w:rPr>
                <w:sz w:val="18"/>
                <w:szCs w:val="18"/>
              </w:rPr>
              <w:t xml:space="preserve">for </w:t>
            </w:r>
            <w:r w:rsidRPr="00A7031C">
              <w:rPr>
                <w:sz w:val="18"/>
                <w:szCs w:val="18"/>
              </w:rPr>
              <w:t xml:space="preserve">federal studies regarding paid leave policies. </w:t>
            </w:r>
            <w:r w:rsidR="00531270">
              <w:rPr>
                <w:sz w:val="18"/>
                <w:szCs w:val="18"/>
              </w:rPr>
              <w:t>An</w:t>
            </w:r>
            <w:r w:rsidR="00531270" w:rsidRPr="00A7031C">
              <w:rPr>
                <w:sz w:val="18"/>
                <w:szCs w:val="18"/>
              </w:rPr>
              <w:t xml:space="preserve"> </w:t>
            </w:r>
            <w:r w:rsidRPr="00A7031C">
              <w:rPr>
                <w:sz w:val="18"/>
                <w:szCs w:val="18"/>
              </w:rPr>
              <w:t xml:space="preserve">identical proposal was introduced in 2007 when </w:t>
            </w:r>
            <w:r w:rsidR="00A36880">
              <w:rPr>
                <w:sz w:val="18"/>
                <w:szCs w:val="18"/>
              </w:rPr>
              <w:t>the Congressional Budget Office (CBO)</w:t>
            </w:r>
            <w:r w:rsidRPr="00A7031C">
              <w:rPr>
                <w:sz w:val="18"/>
                <w:szCs w:val="18"/>
              </w:rPr>
              <w:t xml:space="preserve"> determined that it would cost $17 million over five years. http://www.cbo.gov/sites/default/files/s910.pdf</w:t>
            </w:r>
            <w:r w:rsidR="00405332">
              <w:rPr>
                <w:sz w:val="18"/>
                <w:szCs w:val="18"/>
              </w:rPr>
              <w:t xml:space="preserve"> </w:t>
            </w:r>
          </w:p>
          <w:p w:rsidR="00A7031C" w:rsidRDefault="00A7031C" w:rsidP="00531270">
            <w:pPr>
              <w:rPr>
                <w:sz w:val="18"/>
                <w:szCs w:val="18"/>
              </w:rPr>
            </w:pPr>
          </w:p>
          <w:p w:rsidR="00A7031C" w:rsidRPr="00A7031C" w:rsidRDefault="00A7031C" w:rsidP="00531270">
            <w:pPr>
              <w:rPr>
                <w:sz w:val="18"/>
                <w:szCs w:val="18"/>
              </w:rPr>
            </w:pPr>
            <w:r w:rsidRPr="00A7031C">
              <w:rPr>
                <w:sz w:val="18"/>
                <w:szCs w:val="18"/>
              </w:rPr>
              <w:t>Note: Related legislation would further expand paid leave benefits for federal employees: H.R. 517, the Federal Employees Paid Parental Leave Act (113th Congress). CBO scored a version of the bill introduced in 2009 at $938 million over five years. https://www.cbo.gov/sites/default/files/hr626.pdf</w:t>
            </w:r>
          </w:p>
        </w:tc>
      </w:tr>
      <w:tr w:rsidR="00A7031C" w:rsidRPr="004943A4" w:rsidTr="00A7031C">
        <w:tc>
          <w:tcPr>
            <w:tcW w:w="720" w:type="dxa"/>
            <w:vAlign w:val="bottom"/>
          </w:tcPr>
          <w:p w:rsidR="00A7031C" w:rsidRPr="00A7031C" w:rsidRDefault="00A7031C">
            <w:pPr>
              <w:jc w:val="right"/>
              <w:rPr>
                <w:color w:val="000000"/>
                <w:sz w:val="18"/>
                <w:szCs w:val="18"/>
              </w:rPr>
            </w:pPr>
            <w:r w:rsidRPr="00A7031C">
              <w:rPr>
                <w:color w:val="000000"/>
                <w:sz w:val="18"/>
                <w:szCs w:val="18"/>
              </w:rPr>
              <w:t>4</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 xml:space="preserve"> ... [T]his Congress ... needs to pass a law that makes sure a woman is paid the same as a man for doing the same work.</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$0.003</w:t>
            </w:r>
          </w:p>
        </w:tc>
        <w:tc>
          <w:tcPr>
            <w:tcW w:w="4146" w:type="dxa"/>
          </w:tcPr>
          <w:p w:rsidR="00A7031C" w:rsidRPr="00A7031C" w:rsidRDefault="00A7031C" w:rsidP="00710647">
            <w:pPr>
              <w:rPr>
                <w:sz w:val="18"/>
                <w:szCs w:val="18"/>
              </w:rPr>
            </w:pPr>
            <w:r w:rsidRPr="00A7031C">
              <w:rPr>
                <w:sz w:val="18"/>
                <w:szCs w:val="18"/>
              </w:rPr>
              <w:t>Related legislation has been introduced in the form of H.R. 377</w:t>
            </w:r>
            <w:r w:rsidR="00531270">
              <w:rPr>
                <w:sz w:val="18"/>
                <w:szCs w:val="18"/>
              </w:rPr>
              <w:t>/</w:t>
            </w:r>
            <w:r w:rsidRPr="00A7031C">
              <w:rPr>
                <w:sz w:val="18"/>
                <w:szCs w:val="18"/>
              </w:rPr>
              <w:t xml:space="preserve">S. 84 (113th Congress), the Paycheck Fairness Act. The bill would enhance regulations pertaining to equal pay. The text of the bill authorizes $15 million for compliance training, a grant program for negotiation skills training for girls and women, and research, education and outreach. NTUF assumes </w:t>
            </w:r>
            <w:r w:rsidRPr="00A7031C">
              <w:rPr>
                <w:sz w:val="18"/>
                <w:szCs w:val="18"/>
              </w:rPr>
              <w:lastRenderedPageBreak/>
              <w:t>the outlays would occur over five years.</w:t>
            </w:r>
          </w:p>
        </w:tc>
      </w:tr>
      <w:tr w:rsidR="00A7031C" w:rsidRPr="004943A4" w:rsidTr="00B679BF">
        <w:trPr>
          <w:trHeight w:val="56"/>
        </w:trPr>
        <w:tc>
          <w:tcPr>
            <w:tcW w:w="720" w:type="dxa"/>
            <w:vAlign w:val="bottom"/>
          </w:tcPr>
          <w:p w:rsidR="00A7031C" w:rsidRPr="00A7031C" w:rsidRDefault="00A7031C">
            <w:pPr>
              <w:jc w:val="right"/>
              <w:rPr>
                <w:color w:val="000000"/>
                <w:sz w:val="18"/>
                <w:szCs w:val="18"/>
              </w:rPr>
            </w:pPr>
            <w:r w:rsidRPr="00A7031C">
              <w:rPr>
                <w:color w:val="000000"/>
                <w:sz w:val="18"/>
                <w:szCs w:val="18"/>
              </w:rPr>
              <w:lastRenderedPageBreak/>
              <w:t>5</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We still need laws that strengthen rather than weaken unions, and give American workers a voice.</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Unknown.</w:t>
            </w:r>
          </w:p>
        </w:tc>
        <w:tc>
          <w:tcPr>
            <w:tcW w:w="4146" w:type="dxa"/>
          </w:tcPr>
          <w:p w:rsidR="00A7031C" w:rsidRPr="00A7031C" w:rsidRDefault="00A7031C">
            <w:pPr>
              <w:rPr>
                <w:sz w:val="18"/>
                <w:szCs w:val="18"/>
              </w:rPr>
            </w:pPr>
            <w:r w:rsidRPr="00A7031C">
              <w:rPr>
                <w:sz w:val="18"/>
                <w:szCs w:val="18"/>
              </w:rPr>
              <w:t>Insufficient detail to determine whether this proposal entails an increase in loans, subsidies, or some other kind of federal involvement affecting outlays.</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t>6</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 xml:space="preserve"> ... I am sending this Congress a bold new plan to lower the cost of community college – to zero.</w:t>
            </w:r>
            <w:r>
              <w:rPr>
                <w:sz w:val="18"/>
                <w:szCs w:val="18"/>
              </w:rPr>
              <w:t>”</w:t>
            </w:r>
          </w:p>
        </w:tc>
        <w:tc>
          <w:tcPr>
            <w:tcW w:w="2160" w:type="dxa"/>
            <w:vAlign w:val="bottom"/>
          </w:tcPr>
          <w:p w:rsidR="00A7031C" w:rsidRPr="00A7031C" w:rsidRDefault="00A7031C" w:rsidP="00B679BF">
            <w:pPr>
              <w:jc w:val="center"/>
              <w:rPr>
                <w:sz w:val="18"/>
                <w:szCs w:val="18"/>
              </w:rPr>
            </w:pPr>
            <w:r w:rsidRPr="00A7031C">
              <w:rPr>
                <w:sz w:val="18"/>
                <w:szCs w:val="18"/>
              </w:rPr>
              <w:t>$6</w:t>
            </w:r>
          </w:p>
        </w:tc>
        <w:tc>
          <w:tcPr>
            <w:tcW w:w="4146" w:type="dxa"/>
          </w:tcPr>
          <w:p w:rsidR="00A7031C" w:rsidRPr="00A7031C" w:rsidRDefault="00A7031C">
            <w:pPr>
              <w:rPr>
                <w:sz w:val="18"/>
                <w:szCs w:val="18"/>
              </w:rPr>
            </w:pPr>
            <w:r w:rsidRPr="00A7031C">
              <w:rPr>
                <w:sz w:val="18"/>
                <w:szCs w:val="18"/>
              </w:rPr>
              <w:t xml:space="preserve">According to the </w:t>
            </w:r>
            <w:r w:rsidRPr="00EE0883">
              <w:rPr>
                <w:i/>
                <w:sz w:val="18"/>
                <w:szCs w:val="18"/>
              </w:rPr>
              <w:t>New York Times</w:t>
            </w:r>
            <w:r w:rsidRPr="00A7031C">
              <w:rPr>
                <w:sz w:val="18"/>
                <w:szCs w:val="18"/>
              </w:rPr>
              <w:t xml:space="preserve">, the White House has cited a $60 billion ten-year cost for this proposal. http://www.nytimes.com/2015/01/18/us/president-obama-will-seek-to-reduce-taxes-for-middle-class.html Based on current full-time student enrollment figures at community colleges, and the long-term impact this proposal would have on demand for </w:t>
            </w:r>
            <w:r>
              <w:rPr>
                <w:sz w:val="18"/>
                <w:szCs w:val="18"/>
              </w:rPr>
              <w:t>“</w:t>
            </w:r>
            <w:r w:rsidRPr="00A7031C">
              <w:rPr>
                <w:sz w:val="18"/>
                <w:szCs w:val="18"/>
              </w:rPr>
              <w:t>free tuition</w:t>
            </w:r>
            <w:r>
              <w:rPr>
                <w:sz w:val="18"/>
                <w:szCs w:val="18"/>
              </w:rPr>
              <w:t>”</w:t>
            </w:r>
            <w:r w:rsidRPr="00A7031C">
              <w:rPr>
                <w:sz w:val="18"/>
                <w:szCs w:val="18"/>
              </w:rPr>
              <w:t>, this is probably a low estimate. http://www.ntu.org/governmentbytes/detail/free-community-college-tuition-proposal-could-cost-taxpayers-plenty-01-09-15</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t>7</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And I want to work with this Congress, to make sure Americans already burdened with student loans can reduce their monthly payments, so that student debt doesn</w:t>
            </w:r>
            <w:r>
              <w:rPr>
                <w:sz w:val="18"/>
                <w:szCs w:val="18"/>
              </w:rPr>
              <w:t>’</w:t>
            </w:r>
            <w:r w:rsidRPr="00A7031C">
              <w:rPr>
                <w:sz w:val="18"/>
                <w:szCs w:val="18"/>
              </w:rPr>
              <w:t>t derail anyone</w:t>
            </w:r>
            <w:r>
              <w:rPr>
                <w:sz w:val="18"/>
                <w:szCs w:val="18"/>
              </w:rPr>
              <w:t>’</w:t>
            </w:r>
            <w:r w:rsidRPr="00A7031C">
              <w:rPr>
                <w:sz w:val="18"/>
                <w:szCs w:val="18"/>
              </w:rPr>
              <w:t>s dreams.</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$1.455</w:t>
            </w:r>
          </w:p>
        </w:tc>
        <w:tc>
          <w:tcPr>
            <w:tcW w:w="4146" w:type="dxa"/>
          </w:tcPr>
          <w:p w:rsidR="00531270" w:rsidRDefault="00A7031C">
            <w:pPr>
              <w:rPr>
                <w:sz w:val="18"/>
                <w:szCs w:val="18"/>
              </w:rPr>
            </w:pPr>
            <w:r w:rsidRPr="00A7031C">
              <w:rPr>
                <w:sz w:val="18"/>
                <w:szCs w:val="18"/>
              </w:rPr>
              <w:t xml:space="preserve">In his FY 2015 budget proposal, the President called for an expansion and reform of student loan income-based repayment at a net cost of $7.274 billion over five years. The program currently applies to new borrowers. To the extent that </w:t>
            </w:r>
            <w:r>
              <w:rPr>
                <w:sz w:val="18"/>
                <w:szCs w:val="18"/>
              </w:rPr>
              <w:t>“</w:t>
            </w:r>
            <w:r w:rsidRPr="00A7031C">
              <w:rPr>
                <w:sz w:val="18"/>
                <w:szCs w:val="18"/>
              </w:rPr>
              <w:t>free tuition</w:t>
            </w:r>
            <w:r>
              <w:rPr>
                <w:sz w:val="18"/>
                <w:szCs w:val="18"/>
              </w:rPr>
              <w:t>”</w:t>
            </w:r>
            <w:r w:rsidRPr="00A7031C">
              <w:rPr>
                <w:sz w:val="18"/>
                <w:szCs w:val="18"/>
              </w:rPr>
              <w:t xml:space="preserve"> decreases awards of Pell grants, the costs could be </w:t>
            </w:r>
            <w:r w:rsidR="00650CDA" w:rsidRPr="00A7031C">
              <w:rPr>
                <w:sz w:val="18"/>
                <w:szCs w:val="18"/>
              </w:rPr>
              <w:t>lower;</w:t>
            </w:r>
            <w:r w:rsidRPr="00A7031C">
              <w:rPr>
                <w:sz w:val="18"/>
                <w:szCs w:val="18"/>
              </w:rPr>
              <w:t xml:space="preserve"> however, costs could increase if the program is expanded to include students with prior loans.</w:t>
            </w:r>
            <w:r w:rsidR="00405332">
              <w:rPr>
                <w:sz w:val="18"/>
                <w:szCs w:val="18"/>
              </w:rPr>
              <w:t xml:space="preserve"> </w:t>
            </w:r>
            <w:r w:rsidRPr="00A7031C">
              <w:rPr>
                <w:sz w:val="18"/>
                <w:szCs w:val="18"/>
              </w:rPr>
              <w:t>http://www.whitehouse.gov/sites/default/files/omb/budget/fy2015/assets/tables.pdf http://blogs.wsj.com/economics/2015/01/20/the-ballooning-cost-of-obamas-college-loan-repayment-program/</w:t>
            </w:r>
          </w:p>
          <w:p w:rsidR="00531270" w:rsidRDefault="00531270">
            <w:pPr>
              <w:rPr>
                <w:sz w:val="18"/>
                <w:szCs w:val="18"/>
              </w:rPr>
            </w:pPr>
          </w:p>
          <w:p w:rsidR="00A7031C" w:rsidRPr="00A7031C" w:rsidRDefault="00531270" w:rsidP="00EE0883">
            <w:pPr>
              <w:rPr>
                <w:sz w:val="18"/>
                <w:szCs w:val="18"/>
              </w:rPr>
            </w:pPr>
            <w:r>
              <w:rPr>
                <w:sz w:val="18"/>
                <w:szCs w:val="18"/>
              </w:rPr>
              <w:t xml:space="preserve">Note: </w:t>
            </w:r>
            <w:r w:rsidR="00A7031C" w:rsidRPr="00A7031C">
              <w:rPr>
                <w:sz w:val="18"/>
                <w:szCs w:val="18"/>
              </w:rPr>
              <w:t xml:space="preserve">Related legislation </w:t>
            </w:r>
            <w:r>
              <w:rPr>
                <w:sz w:val="18"/>
                <w:szCs w:val="18"/>
              </w:rPr>
              <w:t xml:space="preserve">was </w:t>
            </w:r>
            <w:r w:rsidR="00A7031C" w:rsidRPr="00A7031C">
              <w:rPr>
                <w:sz w:val="18"/>
                <w:szCs w:val="18"/>
              </w:rPr>
              <w:t xml:space="preserve">introduced as S. 2432, the Bank on Students Emergency Loan Refinancing Act (113th Congress). The bill would allow most </w:t>
            </w:r>
            <w:r w:rsidR="00A7031C" w:rsidRPr="00A7031C">
              <w:rPr>
                <w:sz w:val="18"/>
                <w:szCs w:val="18"/>
              </w:rPr>
              <w:br/>
              <w:t>individuals with student loans (both federal and private) to refinance those loans into new federal direct loans at interest rates specified in the bill. CBO determined it would have a net three-year cost of $58 billion. http://www.cbo.gov/publication/45433</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t>8</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Tonight, I</w:t>
            </w:r>
            <w:r>
              <w:rPr>
                <w:sz w:val="18"/>
                <w:szCs w:val="18"/>
              </w:rPr>
              <w:t>’</w:t>
            </w:r>
            <w:r w:rsidRPr="00A7031C">
              <w:rPr>
                <w:sz w:val="18"/>
                <w:szCs w:val="18"/>
              </w:rPr>
              <w:t>m also asking more businesses to follow the lead of companies like CVS and UPS, and offer more educational benefits and paid apprenticeships – opportunities that give workers the chance to earn higher-paying jobs even if they don</w:t>
            </w:r>
            <w:r>
              <w:rPr>
                <w:sz w:val="18"/>
                <w:szCs w:val="18"/>
              </w:rPr>
              <w:t>’</w:t>
            </w:r>
            <w:r w:rsidRPr="00A7031C">
              <w:rPr>
                <w:sz w:val="18"/>
                <w:szCs w:val="18"/>
              </w:rPr>
              <w:t>t have a higher education.</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Unknown.</w:t>
            </w:r>
          </w:p>
        </w:tc>
        <w:tc>
          <w:tcPr>
            <w:tcW w:w="4146" w:type="dxa"/>
          </w:tcPr>
          <w:p w:rsidR="00EE0883" w:rsidRDefault="00A7031C" w:rsidP="007E513C">
            <w:pPr>
              <w:rPr>
                <w:sz w:val="18"/>
                <w:szCs w:val="18"/>
              </w:rPr>
            </w:pPr>
            <w:r w:rsidRPr="00A7031C">
              <w:rPr>
                <w:sz w:val="18"/>
                <w:szCs w:val="18"/>
              </w:rPr>
              <w:t xml:space="preserve">In advance of the Address, the President proposed a new American Technical Training Fund to </w:t>
            </w:r>
            <w:r>
              <w:rPr>
                <w:sz w:val="18"/>
                <w:szCs w:val="18"/>
              </w:rPr>
              <w:t>“</w:t>
            </w:r>
            <w:r w:rsidRPr="00A7031C">
              <w:rPr>
                <w:sz w:val="18"/>
                <w:szCs w:val="18"/>
              </w:rPr>
              <w:t>expand innovative, high-quality technical training programs across the country. Specifically, the fund will award programs that [h]</w:t>
            </w:r>
            <w:proofErr w:type="spellStart"/>
            <w:r w:rsidRPr="00A7031C">
              <w:rPr>
                <w:sz w:val="18"/>
                <w:szCs w:val="18"/>
              </w:rPr>
              <w:t>ave</w:t>
            </w:r>
            <w:proofErr w:type="spellEnd"/>
            <w:r w:rsidRPr="00A7031C">
              <w:rPr>
                <w:sz w:val="18"/>
                <w:szCs w:val="18"/>
              </w:rPr>
              <w:t xml:space="preserve"> strong employer partnerships and include work-based learning </w:t>
            </w:r>
            <w:proofErr w:type="gramStart"/>
            <w:r w:rsidRPr="00A7031C">
              <w:rPr>
                <w:sz w:val="18"/>
                <w:szCs w:val="18"/>
              </w:rPr>
              <w:t>opportunities[</w:t>
            </w:r>
            <w:proofErr w:type="gramEnd"/>
            <w:r w:rsidRPr="00A7031C">
              <w:rPr>
                <w:sz w:val="18"/>
                <w:szCs w:val="18"/>
              </w:rPr>
              <w:t>,] [p]</w:t>
            </w:r>
            <w:proofErr w:type="spellStart"/>
            <w:r w:rsidRPr="00A7031C">
              <w:rPr>
                <w:sz w:val="18"/>
                <w:szCs w:val="18"/>
              </w:rPr>
              <w:t>rovide</w:t>
            </w:r>
            <w:proofErr w:type="spellEnd"/>
            <w:r w:rsidRPr="00A7031C">
              <w:rPr>
                <w:sz w:val="18"/>
                <w:szCs w:val="18"/>
              </w:rPr>
              <w:t xml:space="preserve"> accelerated training [, and] [a]</w:t>
            </w:r>
            <w:proofErr w:type="spellStart"/>
            <w:r w:rsidRPr="00A7031C">
              <w:rPr>
                <w:sz w:val="18"/>
                <w:szCs w:val="18"/>
              </w:rPr>
              <w:t>ccommodate</w:t>
            </w:r>
            <w:proofErr w:type="spellEnd"/>
            <w:r w:rsidRPr="00A7031C">
              <w:rPr>
                <w:sz w:val="18"/>
                <w:szCs w:val="18"/>
              </w:rPr>
              <w:t xml:space="preserve"> part-time work.</w:t>
            </w:r>
            <w:r>
              <w:rPr>
                <w:sz w:val="18"/>
                <w:szCs w:val="18"/>
              </w:rPr>
              <w:t>”</w:t>
            </w:r>
          </w:p>
          <w:p w:rsidR="00EE0883" w:rsidRDefault="00A7031C" w:rsidP="007E513C">
            <w:pPr>
              <w:rPr>
                <w:sz w:val="18"/>
                <w:szCs w:val="18"/>
              </w:rPr>
            </w:pPr>
            <w:r w:rsidRPr="00A7031C">
              <w:rPr>
                <w:sz w:val="18"/>
                <w:szCs w:val="18"/>
              </w:rPr>
              <w:t xml:space="preserve"> http://www.whitehouse.gov/the-press-office/2015/01/09/fact-sheet-white-house-unveils-america-s-college-promise-proposal-tuitio</w:t>
            </w:r>
            <w:r w:rsidR="00405332">
              <w:rPr>
                <w:sz w:val="18"/>
                <w:szCs w:val="18"/>
              </w:rPr>
              <w:t xml:space="preserve"> </w:t>
            </w:r>
          </w:p>
          <w:p w:rsidR="00EE0883" w:rsidRDefault="00EE0883" w:rsidP="007E513C">
            <w:pPr>
              <w:rPr>
                <w:sz w:val="18"/>
                <w:szCs w:val="18"/>
              </w:rPr>
            </w:pPr>
          </w:p>
          <w:p w:rsidR="00A7031C" w:rsidRPr="00A7031C" w:rsidRDefault="00A7031C" w:rsidP="00EE0883">
            <w:pPr>
              <w:rPr>
                <w:sz w:val="18"/>
                <w:szCs w:val="18"/>
              </w:rPr>
            </w:pPr>
            <w:r w:rsidRPr="00A7031C">
              <w:rPr>
                <w:sz w:val="18"/>
                <w:szCs w:val="18"/>
              </w:rPr>
              <w:t>A cost estimate is not currently available. The resident</w:t>
            </w:r>
            <w:r>
              <w:rPr>
                <w:sz w:val="18"/>
                <w:szCs w:val="18"/>
              </w:rPr>
              <w:t>’</w:t>
            </w:r>
            <w:r w:rsidRPr="00A7031C">
              <w:rPr>
                <w:sz w:val="18"/>
                <w:szCs w:val="18"/>
              </w:rPr>
              <w:t xml:space="preserve">s 2015 budget proposal included a similar </w:t>
            </w:r>
            <w:r w:rsidR="007E513C">
              <w:rPr>
                <w:sz w:val="18"/>
                <w:szCs w:val="18"/>
              </w:rPr>
              <w:t>a</w:t>
            </w:r>
            <w:r w:rsidRPr="00A7031C">
              <w:rPr>
                <w:sz w:val="18"/>
                <w:szCs w:val="18"/>
              </w:rPr>
              <w:t xml:space="preserve">pprenticeship program, dubbed the </w:t>
            </w:r>
            <w:r>
              <w:rPr>
                <w:sz w:val="18"/>
                <w:szCs w:val="18"/>
              </w:rPr>
              <w:t>“</w:t>
            </w:r>
            <w:r w:rsidRPr="00A7031C">
              <w:rPr>
                <w:sz w:val="18"/>
                <w:szCs w:val="18"/>
              </w:rPr>
              <w:t>Community College Job-Driven Training Fund,</w:t>
            </w:r>
            <w:r>
              <w:rPr>
                <w:sz w:val="18"/>
                <w:szCs w:val="18"/>
              </w:rPr>
              <w:t>”</w:t>
            </w:r>
            <w:r w:rsidRPr="00A7031C">
              <w:rPr>
                <w:sz w:val="18"/>
                <w:szCs w:val="18"/>
              </w:rPr>
              <w:t xml:space="preserve"> </w:t>
            </w:r>
            <w:r w:rsidR="00EE0883">
              <w:rPr>
                <w:sz w:val="18"/>
                <w:szCs w:val="18"/>
              </w:rPr>
              <w:t>which</w:t>
            </w:r>
            <w:r w:rsidRPr="00A7031C">
              <w:rPr>
                <w:sz w:val="18"/>
                <w:szCs w:val="18"/>
              </w:rPr>
              <w:t xml:space="preserve"> would have provided $1.5 billion per year for four years. http://www.whitehouse.gov/sites/default/files/omb/budget/fy2015/assets/labor.pdf</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t>9</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Let</w:t>
            </w:r>
            <w:r>
              <w:rPr>
                <w:sz w:val="18"/>
                <w:szCs w:val="18"/>
              </w:rPr>
              <w:t>’</w:t>
            </w:r>
            <w:r w:rsidRPr="00A7031C">
              <w:rPr>
                <w:sz w:val="18"/>
                <w:szCs w:val="18"/>
              </w:rPr>
              <w:t xml:space="preserve">s pass a bipartisan infrastructure plan </w:t>
            </w:r>
            <w:proofErr w:type="gramStart"/>
            <w:r w:rsidRPr="00A7031C">
              <w:rPr>
                <w:sz w:val="18"/>
                <w:szCs w:val="18"/>
              </w:rPr>
              <w:t>... .</w:t>
            </w:r>
            <w:proofErr w:type="gramEnd"/>
            <w:r w:rsidR="003A3C76">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$21.75</w:t>
            </w:r>
          </w:p>
        </w:tc>
        <w:tc>
          <w:tcPr>
            <w:tcW w:w="4146" w:type="dxa"/>
          </w:tcPr>
          <w:p w:rsidR="00A7031C" w:rsidRDefault="00A7031C">
            <w:pPr>
              <w:rPr>
                <w:sz w:val="18"/>
                <w:szCs w:val="18"/>
              </w:rPr>
            </w:pPr>
            <w:r w:rsidRPr="00A7031C">
              <w:rPr>
                <w:sz w:val="18"/>
                <w:szCs w:val="18"/>
              </w:rPr>
              <w:t xml:space="preserve">The President </w:t>
            </w:r>
            <w:r w:rsidR="007E513C">
              <w:rPr>
                <w:sz w:val="18"/>
                <w:szCs w:val="18"/>
              </w:rPr>
              <w:t>is referring to the White House’</w:t>
            </w:r>
            <w:r w:rsidRPr="00A7031C">
              <w:rPr>
                <w:sz w:val="18"/>
                <w:szCs w:val="18"/>
              </w:rPr>
              <w:t xml:space="preserve">s 2014 GROW </w:t>
            </w:r>
            <w:r w:rsidR="00531270" w:rsidRPr="00A7031C">
              <w:rPr>
                <w:sz w:val="18"/>
                <w:szCs w:val="18"/>
              </w:rPr>
              <w:t>A</w:t>
            </w:r>
            <w:r w:rsidR="00531270">
              <w:rPr>
                <w:sz w:val="18"/>
                <w:szCs w:val="18"/>
              </w:rPr>
              <w:t>MERICA</w:t>
            </w:r>
            <w:r w:rsidR="007E513C">
              <w:rPr>
                <w:sz w:val="18"/>
                <w:szCs w:val="18"/>
              </w:rPr>
              <w:t xml:space="preserve"> Act</w:t>
            </w:r>
            <w:r w:rsidR="00531270" w:rsidRPr="00A7031C">
              <w:rPr>
                <w:sz w:val="18"/>
                <w:szCs w:val="18"/>
              </w:rPr>
              <w:t xml:space="preserve"> </w:t>
            </w:r>
            <w:r w:rsidRPr="00A7031C">
              <w:rPr>
                <w:sz w:val="18"/>
                <w:szCs w:val="18"/>
              </w:rPr>
              <w:t xml:space="preserve">proposal to reauthorize surface transportation for four years with a net increase of $87 billion over that time frame. The </w:t>
            </w:r>
            <w:r w:rsidRPr="00A7031C">
              <w:rPr>
                <w:sz w:val="18"/>
                <w:szCs w:val="18"/>
              </w:rPr>
              <w:lastRenderedPageBreak/>
              <w:t xml:space="preserve">Administration proposed to finance those projects with $150 billion worth of new revenue via </w:t>
            </w:r>
            <w:r w:rsidR="007E513C">
              <w:rPr>
                <w:sz w:val="18"/>
                <w:szCs w:val="18"/>
              </w:rPr>
              <w:t>“pro-growth”</w:t>
            </w:r>
            <w:r w:rsidRPr="00A7031C">
              <w:rPr>
                <w:sz w:val="18"/>
                <w:szCs w:val="18"/>
              </w:rPr>
              <w:t xml:space="preserve"> business tax reform</w:t>
            </w:r>
            <w:r w:rsidR="00531270">
              <w:rPr>
                <w:sz w:val="18"/>
                <w:szCs w:val="18"/>
              </w:rPr>
              <w:t>s</w:t>
            </w:r>
            <w:r w:rsidRPr="00A7031C">
              <w:rPr>
                <w:sz w:val="18"/>
                <w:szCs w:val="18"/>
              </w:rPr>
              <w:t>, including higher tax rates on compani</w:t>
            </w:r>
            <w:r>
              <w:rPr>
                <w:sz w:val="18"/>
                <w:szCs w:val="18"/>
              </w:rPr>
              <w:t>es that shift profits overseas.</w:t>
            </w:r>
          </w:p>
          <w:p w:rsidR="00A7031C" w:rsidRDefault="007E513C">
            <w:pPr>
              <w:rPr>
                <w:sz w:val="18"/>
                <w:szCs w:val="18"/>
              </w:rPr>
            </w:pPr>
            <w:r w:rsidRPr="007E513C">
              <w:rPr>
                <w:sz w:val="18"/>
                <w:szCs w:val="18"/>
              </w:rPr>
              <w:t>http://www.newsnet5.com/news/political/vice-president-biden-comes-to-cleveland-to-push-the-white-house-plan-to-fund-transportation</w:t>
            </w:r>
          </w:p>
          <w:p w:rsidR="007E513C" w:rsidRPr="00A7031C" w:rsidRDefault="007E513C" w:rsidP="007E513C">
            <w:pPr>
              <w:rPr>
                <w:sz w:val="18"/>
                <w:szCs w:val="18"/>
              </w:rPr>
            </w:pPr>
            <w:r w:rsidRPr="00531270">
              <w:rPr>
                <w:sz w:val="18"/>
                <w:szCs w:val="18"/>
              </w:rPr>
              <w:t>http://www.dot.gov/grow-america/fact-sheets/overview</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lastRenderedPageBreak/>
              <w:t>10</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I</w:t>
            </w:r>
            <w:r>
              <w:rPr>
                <w:sz w:val="18"/>
                <w:szCs w:val="18"/>
              </w:rPr>
              <w:t>’</w:t>
            </w:r>
            <w:r w:rsidRPr="00A7031C">
              <w:rPr>
                <w:sz w:val="18"/>
                <w:szCs w:val="18"/>
              </w:rPr>
              <w:t>m launching a new Precision Medicine Initiative to bring us closer to curing diseases like cancer and diabetes – and to give all of us access to the personalized information we need to keep ourselves and our families healthier.</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Unknown.</w:t>
            </w:r>
          </w:p>
        </w:tc>
        <w:tc>
          <w:tcPr>
            <w:tcW w:w="4146" w:type="dxa"/>
          </w:tcPr>
          <w:p w:rsidR="00A7031C" w:rsidRPr="00A7031C" w:rsidRDefault="00A7031C">
            <w:pPr>
              <w:rPr>
                <w:sz w:val="18"/>
                <w:szCs w:val="18"/>
              </w:rPr>
            </w:pPr>
            <w:r w:rsidRPr="00A7031C">
              <w:rPr>
                <w:sz w:val="18"/>
                <w:szCs w:val="18"/>
              </w:rPr>
              <w:t>Insufficient detail to determine whether this proposal entails an increase in loans, subsidies, or some other kind of federal involvement affecting outlays. Additional background information: http://www.nationaljournal.com/white-house/what-obama-s-plan-for-precision-medicine-really-means-20150120 http://www.xconomy.com/national/2015/01/21/what-president-obamas-precision-medicine-initiative-might-include/</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t>11</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I intend to ... extend [the Internet</w:t>
            </w:r>
            <w:r>
              <w:rPr>
                <w:sz w:val="18"/>
                <w:szCs w:val="18"/>
              </w:rPr>
              <w:t>’</w:t>
            </w:r>
            <w:r w:rsidRPr="00A7031C">
              <w:rPr>
                <w:sz w:val="18"/>
                <w:szCs w:val="18"/>
              </w:rPr>
              <w:t xml:space="preserve">s] reach to every classroom, and every community, and help folks build the fastest network </w:t>
            </w:r>
            <w:proofErr w:type="gramStart"/>
            <w:r w:rsidRPr="00A7031C">
              <w:rPr>
                <w:sz w:val="18"/>
                <w:szCs w:val="18"/>
              </w:rPr>
              <w:t>... .</w:t>
            </w:r>
            <w:proofErr w:type="gramEnd"/>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$0.053</w:t>
            </w:r>
          </w:p>
        </w:tc>
        <w:tc>
          <w:tcPr>
            <w:tcW w:w="4146" w:type="dxa"/>
          </w:tcPr>
          <w:p w:rsidR="00A7031C" w:rsidRPr="00A7031C" w:rsidRDefault="00A7031C" w:rsidP="00E83E4D">
            <w:pPr>
              <w:rPr>
                <w:sz w:val="18"/>
                <w:szCs w:val="18"/>
              </w:rPr>
            </w:pPr>
            <w:r w:rsidRPr="00A7031C">
              <w:rPr>
                <w:sz w:val="18"/>
                <w:szCs w:val="18"/>
              </w:rPr>
              <w:t>In advance of the Address, the President proposed several new broadband initiatives, including: a new interagency council (based on a related interagency council</w:t>
            </w:r>
            <w:r w:rsidR="00E83E4D">
              <w:rPr>
                <w:sz w:val="18"/>
                <w:szCs w:val="18"/>
              </w:rPr>
              <w:t>);</w:t>
            </w:r>
            <w:r w:rsidRPr="00A7031C">
              <w:rPr>
                <w:sz w:val="18"/>
                <w:szCs w:val="18"/>
              </w:rPr>
              <w:t xml:space="preserve"> this proposal this could cost up to $15 million over five years, http://www.cbo.gov/sites/default/files/s1619.pdf), new loans and grants ($50 million,</w:t>
            </w:r>
            <w:r w:rsidR="007515D5">
              <w:rPr>
                <w:sz w:val="18"/>
                <w:szCs w:val="18"/>
              </w:rPr>
              <w:t xml:space="preserve"> </w:t>
            </w:r>
            <w:r w:rsidRPr="00A7031C">
              <w:rPr>
                <w:sz w:val="18"/>
                <w:szCs w:val="18"/>
              </w:rPr>
              <w:t>assumed</w:t>
            </w:r>
            <w:r w:rsidR="007515D5">
              <w:rPr>
                <w:sz w:val="18"/>
                <w:szCs w:val="18"/>
              </w:rPr>
              <w:t xml:space="preserve"> </w:t>
            </w:r>
            <w:r w:rsidRPr="00A7031C">
              <w:rPr>
                <w:sz w:val="18"/>
                <w:szCs w:val="18"/>
              </w:rPr>
              <w:t xml:space="preserve">to </w:t>
            </w:r>
            <w:r w:rsidR="007515D5">
              <w:rPr>
                <w:sz w:val="18"/>
                <w:szCs w:val="18"/>
              </w:rPr>
              <w:t xml:space="preserve">an </w:t>
            </w:r>
            <w:r w:rsidRPr="00A7031C">
              <w:rPr>
                <w:sz w:val="18"/>
                <w:szCs w:val="18"/>
              </w:rPr>
              <w:t>be annual level based on a related, expired federal grant program, http://abcnews.go.com/Politics/12-state-union-spoilers-obamas-speech/story?id=28325571), a new ROI Initiative through the Department of Agriculture (cost unknown), and the provision of technical assistance to communities th</w:t>
            </w:r>
            <w:r w:rsidR="00E83E4D">
              <w:rPr>
                <w:sz w:val="18"/>
                <w:szCs w:val="18"/>
              </w:rPr>
              <w:t>r</w:t>
            </w:r>
            <w:r w:rsidRPr="00A7031C">
              <w:rPr>
                <w:sz w:val="18"/>
                <w:szCs w:val="18"/>
              </w:rPr>
              <w:t>ough the National Telecommunications and Information Administration in the Department of Commerce (cost unknown).</w:t>
            </w:r>
          </w:p>
        </w:tc>
      </w:tr>
      <w:tr w:rsidR="00A7031C" w:rsidRPr="004943A4" w:rsidTr="00A7031C">
        <w:tc>
          <w:tcPr>
            <w:tcW w:w="720" w:type="dxa"/>
            <w:vAlign w:val="bottom"/>
          </w:tcPr>
          <w:p w:rsidR="00A7031C" w:rsidRPr="00A7031C" w:rsidRDefault="00A7031C">
            <w:pPr>
              <w:jc w:val="right"/>
              <w:rPr>
                <w:color w:val="000000"/>
                <w:sz w:val="18"/>
                <w:szCs w:val="18"/>
              </w:rPr>
            </w:pPr>
            <w:r w:rsidRPr="00A7031C">
              <w:rPr>
                <w:color w:val="000000"/>
                <w:sz w:val="18"/>
                <w:szCs w:val="18"/>
              </w:rPr>
              <w:t>12</w:t>
            </w:r>
          </w:p>
        </w:tc>
        <w:tc>
          <w:tcPr>
            <w:tcW w:w="4050" w:type="dxa"/>
            <w:vAlign w:val="bottom"/>
          </w:tcPr>
          <w:p w:rsidR="00A7031C" w:rsidRPr="00A7031C" w:rsidRDefault="00A7031C" w:rsidP="00B679BF">
            <w:pPr>
              <w:jc w:val="both"/>
              <w:rPr>
                <w:sz w:val="18"/>
                <w:szCs w:val="18"/>
              </w:rPr>
            </w:pPr>
            <w:proofErr w:type="gramStart"/>
            <w:r>
              <w:rPr>
                <w:sz w:val="18"/>
                <w:szCs w:val="18"/>
              </w:rPr>
              <w:t>“</w:t>
            </w:r>
            <w:r w:rsidRPr="00A7031C">
              <w:rPr>
                <w:sz w:val="18"/>
                <w:szCs w:val="18"/>
              </w:rPr>
              <w:t xml:space="preserve"> Let</w:t>
            </w:r>
            <w:r>
              <w:rPr>
                <w:sz w:val="18"/>
                <w:szCs w:val="18"/>
              </w:rPr>
              <w:t>’</w:t>
            </w:r>
            <w:r w:rsidRPr="00A7031C">
              <w:rPr>
                <w:sz w:val="18"/>
                <w:szCs w:val="18"/>
              </w:rPr>
              <w:t>s</w:t>
            </w:r>
            <w:proofErr w:type="gramEnd"/>
            <w:r w:rsidRPr="00A7031C">
              <w:rPr>
                <w:sz w:val="18"/>
                <w:szCs w:val="18"/>
              </w:rPr>
              <w:t xml:space="preserve"> close loopholes so we stop rewarding companies that keep profits abroad, and reward those that invest in America. Let</w:t>
            </w:r>
            <w:r>
              <w:rPr>
                <w:sz w:val="18"/>
                <w:szCs w:val="18"/>
              </w:rPr>
              <w:t>’</w:t>
            </w:r>
            <w:r w:rsidRPr="00A7031C">
              <w:rPr>
                <w:sz w:val="18"/>
                <w:szCs w:val="18"/>
              </w:rPr>
              <w:t>s use those savings to rebuild our infrastructure and make it more attractive for companies to bring jobs home.</w:t>
            </w:r>
            <w:r w:rsidR="003A3C76">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N/A</w:t>
            </w:r>
          </w:p>
        </w:tc>
        <w:tc>
          <w:tcPr>
            <w:tcW w:w="4146" w:type="dxa"/>
          </w:tcPr>
          <w:p w:rsidR="00A7031C" w:rsidRPr="00A7031C" w:rsidRDefault="00A7031C" w:rsidP="007E513C">
            <w:pPr>
              <w:rPr>
                <w:sz w:val="18"/>
                <w:szCs w:val="18"/>
              </w:rPr>
            </w:pPr>
            <w:r w:rsidRPr="00A7031C">
              <w:rPr>
                <w:sz w:val="18"/>
                <w:szCs w:val="18"/>
              </w:rPr>
              <w:t xml:space="preserve">This was </w:t>
            </w:r>
            <w:r w:rsidR="00531270">
              <w:rPr>
                <w:sz w:val="18"/>
                <w:szCs w:val="18"/>
              </w:rPr>
              <w:t>cited</w:t>
            </w:r>
            <w:r w:rsidR="00531270" w:rsidRPr="00A7031C">
              <w:rPr>
                <w:sz w:val="18"/>
                <w:szCs w:val="18"/>
              </w:rPr>
              <w:t xml:space="preserve"> </w:t>
            </w:r>
            <w:r w:rsidRPr="00A7031C">
              <w:rPr>
                <w:sz w:val="18"/>
                <w:szCs w:val="18"/>
              </w:rPr>
              <w:t xml:space="preserve">as one of the </w:t>
            </w:r>
            <w:r>
              <w:rPr>
                <w:sz w:val="18"/>
                <w:szCs w:val="18"/>
              </w:rPr>
              <w:t>“</w:t>
            </w:r>
            <w:r w:rsidRPr="00A7031C">
              <w:rPr>
                <w:sz w:val="18"/>
                <w:szCs w:val="18"/>
              </w:rPr>
              <w:t>pro-growth</w:t>
            </w:r>
            <w:r>
              <w:rPr>
                <w:sz w:val="18"/>
                <w:szCs w:val="18"/>
              </w:rPr>
              <w:t>”</w:t>
            </w:r>
            <w:r w:rsidRPr="00A7031C">
              <w:rPr>
                <w:sz w:val="18"/>
                <w:szCs w:val="18"/>
              </w:rPr>
              <w:t xml:space="preserve"> business tax reforms that could finance the GROW </w:t>
            </w:r>
            <w:r w:rsidR="00531270" w:rsidRPr="00A7031C">
              <w:rPr>
                <w:sz w:val="18"/>
                <w:szCs w:val="18"/>
              </w:rPr>
              <w:t>A</w:t>
            </w:r>
            <w:r w:rsidR="00531270">
              <w:rPr>
                <w:sz w:val="18"/>
                <w:szCs w:val="18"/>
              </w:rPr>
              <w:t>MERICA</w:t>
            </w:r>
            <w:r w:rsidR="00531270" w:rsidRPr="00A7031C">
              <w:rPr>
                <w:sz w:val="18"/>
                <w:szCs w:val="18"/>
              </w:rPr>
              <w:t xml:space="preserve"> </w:t>
            </w:r>
            <w:r w:rsidRPr="00A7031C">
              <w:rPr>
                <w:sz w:val="18"/>
                <w:szCs w:val="18"/>
              </w:rPr>
              <w:t>Act (see above).</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t>13</w:t>
            </w:r>
          </w:p>
        </w:tc>
        <w:tc>
          <w:tcPr>
            <w:tcW w:w="4050" w:type="dxa"/>
          </w:tcPr>
          <w:p w:rsidR="00A7031C" w:rsidRPr="00A7031C" w:rsidRDefault="00A7031C" w:rsidP="00B679BF">
            <w:pPr>
              <w:jc w:val="both"/>
              <w:rPr>
                <w:sz w:val="18"/>
                <w:szCs w:val="18"/>
              </w:rPr>
            </w:pPr>
            <w:r>
              <w:rPr>
                <w:sz w:val="18"/>
                <w:szCs w:val="18"/>
              </w:rPr>
              <w:t>“</w:t>
            </w:r>
            <w:r w:rsidR="00650CDA">
              <w:rPr>
                <w:sz w:val="18"/>
                <w:szCs w:val="18"/>
              </w:rPr>
              <w:t xml:space="preserve"> … [L]</w:t>
            </w:r>
            <w:proofErr w:type="spellStart"/>
            <w:r w:rsidRPr="00A7031C">
              <w:rPr>
                <w:sz w:val="18"/>
                <w:szCs w:val="18"/>
              </w:rPr>
              <w:t>et</w:t>
            </w:r>
            <w:r>
              <w:rPr>
                <w:sz w:val="18"/>
                <w:szCs w:val="18"/>
              </w:rPr>
              <w:t>’</w:t>
            </w:r>
            <w:r w:rsidRPr="00A7031C">
              <w:rPr>
                <w:sz w:val="18"/>
                <w:szCs w:val="18"/>
              </w:rPr>
              <w:t>s</w:t>
            </w:r>
            <w:proofErr w:type="spellEnd"/>
            <w:r w:rsidRPr="00A7031C">
              <w:rPr>
                <w:sz w:val="18"/>
                <w:szCs w:val="18"/>
              </w:rPr>
              <w:t xml:space="preserve"> close the loopholes that lead to inequality by allowing the top one percent to avoid paying taxes on their accumulated wealth. We can use that money to help more families pay for childcare and send their kids to college.</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$5.993</w:t>
            </w:r>
          </w:p>
        </w:tc>
        <w:tc>
          <w:tcPr>
            <w:tcW w:w="4146" w:type="dxa"/>
            <w:vAlign w:val="bottom"/>
          </w:tcPr>
          <w:p w:rsidR="00A7031C" w:rsidRPr="00A7031C" w:rsidRDefault="00A7031C">
            <w:pPr>
              <w:rPr>
                <w:color w:val="000000"/>
                <w:sz w:val="18"/>
                <w:szCs w:val="18"/>
              </w:rPr>
            </w:pPr>
            <w:r w:rsidRPr="00A7031C">
              <w:rPr>
                <w:color w:val="000000"/>
                <w:sz w:val="18"/>
                <w:szCs w:val="18"/>
              </w:rPr>
              <w:t xml:space="preserve">The President has proposed financing several tax credits for lower- and middle-income earners by reforming the capital gains tax system. His plan includes expanding and extending the American Opportunity Tax Credit (AOTC), which is scheduled to expire after 2017, in a way that mirrors legislation that passed the House in the 113th Congress last year. The AOTC is a </w:t>
            </w:r>
            <w:r>
              <w:rPr>
                <w:color w:val="000000"/>
                <w:sz w:val="18"/>
                <w:szCs w:val="18"/>
              </w:rPr>
              <w:t>“</w:t>
            </w:r>
            <w:r w:rsidRPr="00A7031C">
              <w:rPr>
                <w:color w:val="000000"/>
                <w:sz w:val="18"/>
                <w:szCs w:val="18"/>
              </w:rPr>
              <w:t>refundable</w:t>
            </w:r>
            <w:r>
              <w:rPr>
                <w:color w:val="000000"/>
                <w:sz w:val="18"/>
                <w:szCs w:val="18"/>
              </w:rPr>
              <w:t>”</w:t>
            </w:r>
            <w:r w:rsidRPr="00A7031C">
              <w:rPr>
                <w:color w:val="000000"/>
                <w:sz w:val="18"/>
                <w:szCs w:val="18"/>
              </w:rPr>
              <w:t xml:space="preserve"> credit, which result</w:t>
            </w:r>
            <w:r w:rsidR="00531270">
              <w:rPr>
                <w:color w:val="000000"/>
                <w:sz w:val="18"/>
                <w:szCs w:val="18"/>
              </w:rPr>
              <w:t>s</w:t>
            </w:r>
            <w:r w:rsidRPr="00A7031C">
              <w:rPr>
                <w:color w:val="000000"/>
                <w:sz w:val="18"/>
                <w:szCs w:val="18"/>
              </w:rPr>
              <w:t xml:space="preserve"> in new spending to the </w:t>
            </w:r>
            <w:r w:rsidR="00650CDA" w:rsidRPr="00A7031C">
              <w:rPr>
                <w:color w:val="000000"/>
                <w:sz w:val="18"/>
                <w:szCs w:val="18"/>
              </w:rPr>
              <w:t>extent</w:t>
            </w:r>
            <w:r w:rsidRPr="00A7031C">
              <w:rPr>
                <w:color w:val="000000"/>
                <w:sz w:val="18"/>
                <w:szCs w:val="18"/>
              </w:rPr>
              <w:t xml:space="preserve"> that the tax credit exceeds a </w:t>
            </w:r>
            <w:r w:rsidR="00650CDA" w:rsidRPr="00A7031C">
              <w:rPr>
                <w:color w:val="000000"/>
                <w:sz w:val="18"/>
                <w:szCs w:val="18"/>
              </w:rPr>
              <w:t>filer’s</w:t>
            </w:r>
            <w:r w:rsidRPr="00A7031C">
              <w:rPr>
                <w:color w:val="000000"/>
                <w:sz w:val="18"/>
                <w:szCs w:val="18"/>
              </w:rPr>
              <w:t xml:space="preserve"> income tax liability. H.R. 3393, the Student and Family Tax Simplification Act, would consolidate several existing education tax credits and increase the refundable portion of the AOTC. The bill was scored by CBO in June 2014. From FY 2016 through FY 2020, the proposal would increase outlays by $29.964 billion (excluded from this total is a 5-year </w:t>
            </w:r>
            <w:r w:rsidR="00650CDA" w:rsidRPr="00A7031C">
              <w:rPr>
                <w:color w:val="000000"/>
                <w:sz w:val="18"/>
                <w:szCs w:val="18"/>
              </w:rPr>
              <w:t>revenue</w:t>
            </w:r>
            <w:r w:rsidRPr="00A7031C">
              <w:rPr>
                <w:color w:val="000000"/>
                <w:sz w:val="18"/>
                <w:szCs w:val="18"/>
              </w:rPr>
              <w:t xml:space="preserve"> impact of $2.414 billion). https://www.cbo.gov/sites/default/files/hr3393.pdf</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t>14</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I call on this Congress to show the world that we are united in this mission by passing a resolution to authorize the use of force against ISIL.</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Unknown.</w:t>
            </w:r>
          </w:p>
        </w:tc>
        <w:tc>
          <w:tcPr>
            <w:tcW w:w="4146" w:type="dxa"/>
          </w:tcPr>
          <w:p w:rsidR="00A7031C" w:rsidRPr="00A7031C" w:rsidRDefault="00A7031C">
            <w:pPr>
              <w:rPr>
                <w:sz w:val="18"/>
                <w:szCs w:val="18"/>
              </w:rPr>
            </w:pPr>
            <w:r w:rsidRPr="00A7031C">
              <w:rPr>
                <w:sz w:val="18"/>
                <w:szCs w:val="18"/>
              </w:rPr>
              <w:t xml:space="preserve">At the end of 2014, the Administration requested and Congress approved $5.6 billion in emergency funding to fight the Islamic State. It is unclear if this new </w:t>
            </w:r>
            <w:r w:rsidRPr="00A7031C">
              <w:rPr>
                <w:sz w:val="18"/>
                <w:szCs w:val="18"/>
              </w:rPr>
              <w:lastRenderedPageBreak/>
              <w:t>authority would require additional funding, and if so, how much would be requested.</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lastRenderedPageBreak/>
              <w:t>15</w:t>
            </w:r>
          </w:p>
        </w:tc>
        <w:tc>
          <w:tcPr>
            <w:tcW w:w="4050" w:type="dxa"/>
          </w:tcPr>
          <w:p w:rsidR="00A7031C" w:rsidRPr="00A7031C" w:rsidRDefault="00A7031C" w:rsidP="00B679BF">
            <w:pPr>
              <w:jc w:val="both"/>
              <w:rPr>
                <w:sz w:val="18"/>
                <w:szCs w:val="18"/>
              </w:rPr>
            </w:pPr>
            <w:r>
              <w:rPr>
                <w:sz w:val="18"/>
                <w:szCs w:val="18"/>
              </w:rPr>
              <w:t>“</w:t>
            </w:r>
            <w:r w:rsidRPr="00A7031C">
              <w:rPr>
                <w:sz w:val="18"/>
                <w:szCs w:val="18"/>
              </w:rPr>
              <w:t>I urge this Congress to finally pass the legislation we need to better meet the evolving threat of cyber-attacks, combat identity theft, and protect our children</w:t>
            </w:r>
            <w:r>
              <w:rPr>
                <w:sz w:val="18"/>
                <w:szCs w:val="18"/>
              </w:rPr>
              <w:t>’</w:t>
            </w:r>
            <w:r w:rsidRPr="00A7031C">
              <w:rPr>
                <w:sz w:val="18"/>
                <w:szCs w:val="18"/>
              </w:rPr>
              <w:t>s information.</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$0.017</w:t>
            </w:r>
          </w:p>
        </w:tc>
        <w:tc>
          <w:tcPr>
            <w:tcW w:w="4146" w:type="dxa"/>
            <w:vAlign w:val="bottom"/>
          </w:tcPr>
          <w:p w:rsidR="00A7031C" w:rsidRPr="00A7031C" w:rsidRDefault="00A7031C">
            <w:pPr>
              <w:rPr>
                <w:sz w:val="18"/>
                <w:szCs w:val="18"/>
              </w:rPr>
            </w:pPr>
            <w:r w:rsidRPr="00A7031C">
              <w:rPr>
                <w:sz w:val="18"/>
                <w:szCs w:val="18"/>
              </w:rPr>
              <w:t xml:space="preserve">In advance of the Address, the President called for several specific proposals regarding </w:t>
            </w:r>
            <w:r w:rsidR="00650CDA" w:rsidRPr="00A7031C">
              <w:rPr>
                <w:sz w:val="18"/>
                <w:szCs w:val="18"/>
              </w:rPr>
              <w:t>cyber security</w:t>
            </w:r>
            <w:r w:rsidRPr="00A7031C">
              <w:rPr>
                <w:sz w:val="18"/>
                <w:szCs w:val="18"/>
              </w:rPr>
              <w:t xml:space="preserve"> including: passage of a Personal Data Notification &amp; Protection Act (http://www.whitehouse.gov/the-press-office/2015/01/12/fact-sheet-safeguarding-american-consumers-families).</w:t>
            </w:r>
            <w:r w:rsidR="00531270">
              <w:rPr>
                <w:sz w:val="18"/>
                <w:szCs w:val="18"/>
              </w:rPr>
              <w:t xml:space="preserve"> </w:t>
            </w:r>
            <w:r w:rsidRPr="00A7031C">
              <w:rPr>
                <w:sz w:val="18"/>
                <w:szCs w:val="18"/>
              </w:rPr>
              <w:t>Related legislation previously introduced in Congress would also extend this mandate to federal agencies with costs ranging from $14 to $60 million over five years (http://www.cbo.gov/sites/default/files/s1151.pdf, http://cbo.gov/sites/default/files/s1535.pdf). In addition, Vice President Biden called for a new $25 million grant to historically black colleges to bol</w:t>
            </w:r>
            <w:r w:rsidR="00531270">
              <w:rPr>
                <w:sz w:val="18"/>
                <w:szCs w:val="18"/>
              </w:rPr>
              <w:t>st</w:t>
            </w:r>
            <w:r w:rsidRPr="00A7031C">
              <w:rPr>
                <w:sz w:val="18"/>
                <w:szCs w:val="18"/>
              </w:rPr>
              <w:t xml:space="preserve">er </w:t>
            </w:r>
            <w:r w:rsidR="00650CDA" w:rsidRPr="00A7031C">
              <w:rPr>
                <w:sz w:val="18"/>
                <w:szCs w:val="18"/>
              </w:rPr>
              <w:t>cyber security</w:t>
            </w:r>
            <w:r w:rsidRPr="00A7031C">
              <w:rPr>
                <w:sz w:val="18"/>
                <w:szCs w:val="18"/>
              </w:rPr>
              <w:t xml:space="preserve"> training program</w:t>
            </w:r>
            <w:r w:rsidR="00531270">
              <w:rPr>
                <w:sz w:val="18"/>
                <w:szCs w:val="18"/>
              </w:rPr>
              <w:t>s</w:t>
            </w:r>
            <w:r w:rsidRPr="00A7031C">
              <w:rPr>
                <w:sz w:val="18"/>
                <w:szCs w:val="18"/>
              </w:rPr>
              <w:t xml:space="preserve"> (http://abcnews.go.com/Politics/12-state-union-spoilers-obamas-speech/story?id=28325571).</w:t>
            </w:r>
          </w:p>
        </w:tc>
      </w:tr>
      <w:tr w:rsidR="00A7031C" w:rsidRPr="004943A4" w:rsidTr="00B679BF">
        <w:tc>
          <w:tcPr>
            <w:tcW w:w="720" w:type="dxa"/>
            <w:vAlign w:val="bottom"/>
          </w:tcPr>
          <w:p w:rsidR="00A7031C" w:rsidRPr="00A7031C" w:rsidRDefault="00A7031C">
            <w:pPr>
              <w:jc w:val="right"/>
              <w:rPr>
                <w:color w:val="000000"/>
                <w:sz w:val="18"/>
                <w:szCs w:val="18"/>
              </w:rPr>
            </w:pPr>
            <w:r w:rsidRPr="00A7031C">
              <w:rPr>
                <w:color w:val="000000"/>
                <w:sz w:val="18"/>
                <w:szCs w:val="18"/>
              </w:rPr>
              <w:t>16</w:t>
            </w:r>
          </w:p>
        </w:tc>
        <w:tc>
          <w:tcPr>
            <w:tcW w:w="4050" w:type="dxa"/>
          </w:tcPr>
          <w:p w:rsidR="00A7031C" w:rsidRPr="00A7031C" w:rsidRDefault="00A7031C" w:rsidP="00B679BF">
            <w:pPr>
              <w:jc w:val="both"/>
              <w:rPr>
                <w:sz w:val="18"/>
                <w:szCs w:val="18"/>
              </w:rPr>
            </w:pPr>
            <w:r>
              <w:rPr>
                <w:sz w:val="18"/>
                <w:szCs w:val="18"/>
              </w:rPr>
              <w:t>“</w:t>
            </w:r>
            <w:r w:rsidR="007E513C">
              <w:rPr>
                <w:sz w:val="18"/>
                <w:szCs w:val="18"/>
              </w:rPr>
              <w:t xml:space="preserve"> ... [T]</w:t>
            </w:r>
            <w:r w:rsidRPr="00A7031C">
              <w:rPr>
                <w:sz w:val="18"/>
                <w:szCs w:val="18"/>
              </w:rPr>
              <w:t>he world needs to use this [Ebola crisis] lesson to build a more effective global effort to prevent the spread of future pandemics, invest in smart development, and eradicate extreme poverty.</w:t>
            </w:r>
            <w:r>
              <w:rPr>
                <w:sz w:val="18"/>
                <w:szCs w:val="18"/>
              </w:rPr>
              <w:t>”</w:t>
            </w:r>
          </w:p>
        </w:tc>
        <w:tc>
          <w:tcPr>
            <w:tcW w:w="2160" w:type="dxa"/>
            <w:vAlign w:val="bottom"/>
          </w:tcPr>
          <w:p w:rsidR="00A7031C" w:rsidRPr="00A7031C" w:rsidRDefault="00A7031C" w:rsidP="00A7031C">
            <w:pPr>
              <w:jc w:val="center"/>
              <w:rPr>
                <w:sz w:val="18"/>
                <w:szCs w:val="18"/>
              </w:rPr>
            </w:pPr>
            <w:r w:rsidRPr="00A7031C">
              <w:rPr>
                <w:sz w:val="18"/>
                <w:szCs w:val="18"/>
              </w:rPr>
              <w:t>Unknown.</w:t>
            </w:r>
          </w:p>
        </w:tc>
        <w:tc>
          <w:tcPr>
            <w:tcW w:w="4146" w:type="dxa"/>
          </w:tcPr>
          <w:p w:rsidR="007E513C" w:rsidRDefault="00A7031C">
            <w:pPr>
              <w:rPr>
                <w:sz w:val="18"/>
                <w:szCs w:val="18"/>
              </w:rPr>
            </w:pPr>
            <w:r w:rsidRPr="00A7031C">
              <w:rPr>
                <w:sz w:val="18"/>
                <w:szCs w:val="18"/>
              </w:rPr>
              <w:t xml:space="preserve">Ebola Response: According to WhiteHouse.gov, </w:t>
            </w:r>
            <w:r>
              <w:rPr>
                <w:sz w:val="18"/>
                <w:szCs w:val="18"/>
              </w:rPr>
              <w:t>“</w:t>
            </w:r>
            <w:r w:rsidRPr="00A7031C">
              <w:rPr>
                <w:sz w:val="18"/>
                <w:szCs w:val="18"/>
              </w:rPr>
              <w:t>[t]he United States already has committed more than $685 million toward fighting the epidemic in West Africa, including more than $111 million in humanitarian aid, and the Department of Defense is prepared to devote more than $1 billion to the whole-of-government Ebola response effort.</w:t>
            </w:r>
            <w:r>
              <w:rPr>
                <w:sz w:val="18"/>
                <w:szCs w:val="18"/>
              </w:rPr>
              <w:t>”</w:t>
            </w:r>
            <w:r w:rsidRPr="00A7031C">
              <w:rPr>
                <w:sz w:val="18"/>
                <w:szCs w:val="18"/>
              </w:rPr>
              <w:t xml:space="preserve"> Congress approved $5.4 billion in December 2014. No additional legislation has been introduced in the 114th Congress at this time to address the Ebola outbreak in West Africa or to authorize new spending for global pandemic </w:t>
            </w:r>
            <w:r w:rsidR="00650CDA" w:rsidRPr="00A7031C">
              <w:rPr>
                <w:sz w:val="18"/>
                <w:szCs w:val="18"/>
              </w:rPr>
              <w:t>prevention</w:t>
            </w:r>
            <w:r w:rsidRPr="00A7031C">
              <w:rPr>
                <w:sz w:val="18"/>
                <w:szCs w:val="18"/>
              </w:rPr>
              <w:t xml:space="preserve">. </w:t>
            </w:r>
            <w:r w:rsidRPr="00A7031C">
              <w:rPr>
                <w:sz w:val="18"/>
                <w:szCs w:val="18"/>
              </w:rPr>
              <w:br/>
              <w:t>http://www.usnews.com/news/articles/2015/01/20/ebola-workers-encourage-continued-investment-in-west-africa</w:t>
            </w:r>
            <w:r w:rsidRPr="00A7031C">
              <w:rPr>
                <w:sz w:val="18"/>
                <w:szCs w:val="18"/>
              </w:rPr>
              <w:br/>
              <w:t>http://www.whitehouse.gov/ebola-response</w:t>
            </w:r>
          </w:p>
          <w:p w:rsidR="00A7031C" w:rsidRPr="00A7031C" w:rsidRDefault="00A7031C">
            <w:pPr>
              <w:rPr>
                <w:sz w:val="18"/>
                <w:szCs w:val="18"/>
              </w:rPr>
            </w:pPr>
            <w:r w:rsidRPr="00A7031C">
              <w:rPr>
                <w:sz w:val="18"/>
                <w:szCs w:val="18"/>
              </w:rPr>
              <w:br/>
              <w:t xml:space="preserve">Development: It is unclear how the President intends to </w:t>
            </w:r>
            <w:r>
              <w:rPr>
                <w:sz w:val="18"/>
                <w:szCs w:val="18"/>
              </w:rPr>
              <w:t>“</w:t>
            </w:r>
            <w:r w:rsidRPr="00A7031C">
              <w:rPr>
                <w:sz w:val="18"/>
                <w:szCs w:val="18"/>
              </w:rPr>
              <w:t>invest in smart development.</w:t>
            </w:r>
            <w:r>
              <w:rPr>
                <w:sz w:val="18"/>
                <w:szCs w:val="18"/>
              </w:rPr>
              <w:t>”</w:t>
            </w:r>
            <w:r w:rsidRPr="00A7031C">
              <w:rPr>
                <w:sz w:val="18"/>
                <w:szCs w:val="18"/>
              </w:rPr>
              <w:t xml:space="preserve"> One measure, S. 1271 (113th Congress), the Foreign Aid Transparency and Accountability Act of 2013, would require the President to establish performance guidelines and metrics for U.S. foreign assistance programs and to report results to Congress. CBO estimated that the bill would cost $1.68 billion over five years. </w:t>
            </w:r>
            <w:r w:rsidRPr="00A7031C">
              <w:rPr>
                <w:sz w:val="18"/>
                <w:szCs w:val="18"/>
              </w:rPr>
              <w:br/>
              <w:t>http://www.cbo.gov/sites/default/files/s1271.pdf</w:t>
            </w:r>
            <w:r w:rsidRPr="00A7031C">
              <w:rPr>
                <w:sz w:val="18"/>
                <w:szCs w:val="18"/>
              </w:rPr>
              <w:br/>
              <w:t>Eradicate Poverty: In his 2013 State of the Union Address, the President proposed to end extreme poverty (those living on a dollar or less per day) in two decades. Insufficient details exist to determine whether this proposal or that given in 2013 entails an increase in loans, subsidies, or some other kind of federal involvement affecting outlays. In FY 2014, the U.S. Agency for International Development spent $4.1 billion in direct program activities including ending extreme poverty.</w:t>
            </w:r>
            <w:r w:rsidRPr="00A7031C">
              <w:rPr>
                <w:sz w:val="18"/>
                <w:szCs w:val="18"/>
              </w:rPr>
              <w:br/>
              <w:t>http://www.ntu.org/foundation/state-of-the-union-analyses/sotu-2013-obama</w:t>
            </w:r>
            <w:r w:rsidRPr="00A7031C">
              <w:rPr>
                <w:sz w:val="18"/>
                <w:szCs w:val="18"/>
              </w:rPr>
              <w:br/>
              <w:t>http://www.whitehouse.gov/sites/default/files/omb/budget/fy2015/assets/sta.pdf</w:t>
            </w:r>
          </w:p>
        </w:tc>
      </w:tr>
    </w:tbl>
    <w:p w:rsidR="0048279E" w:rsidRDefault="0048279E"/>
    <w:p w:rsidR="007120AF" w:rsidRDefault="007120AF"/>
    <w:p w:rsidR="00262DE9" w:rsidRDefault="00262DE9"/>
    <w:p w:rsidR="00262DE9" w:rsidRDefault="00262DE9"/>
    <w:p w:rsidR="00262DE9" w:rsidRDefault="00262DE9"/>
    <w:p w:rsidR="00262DE9" w:rsidRDefault="00262DE9"/>
    <w:tbl>
      <w:tblPr>
        <w:tblW w:w="11070" w:type="dxa"/>
        <w:tblInd w:w="-870" w:type="dxa"/>
        <w:tblBorders>
          <w:top w:val="double" w:sz="4" w:space="0" w:color="auto"/>
          <w:left w:val="double" w:sz="4" w:space="0" w:color="auto"/>
          <w:bottom w:val="double" w:sz="4" w:space="0" w:color="auto"/>
          <w:right w:val="double" w:sz="4" w:space="0" w:color="auto"/>
        </w:tblBorders>
        <w:tblLayout w:type="fixed"/>
        <w:tblCellMar>
          <w:left w:w="30" w:type="dxa"/>
          <w:right w:w="30" w:type="dxa"/>
        </w:tblCellMar>
        <w:tblLook w:val="0000"/>
      </w:tblPr>
      <w:tblGrid>
        <w:gridCol w:w="3150"/>
        <w:gridCol w:w="2790"/>
        <w:gridCol w:w="2122"/>
        <w:gridCol w:w="1504"/>
        <w:gridCol w:w="1504"/>
      </w:tblGrid>
      <w:tr w:rsidR="000C642B" w:rsidTr="004522F2">
        <w:trPr>
          <w:trHeight w:val="998"/>
        </w:trPr>
        <w:tc>
          <w:tcPr>
            <w:tcW w:w="3150" w:type="dxa"/>
            <w:tcBorders>
              <w:top w:val="double" w:sz="4" w:space="0" w:color="auto"/>
              <w:bottom w:val="single" w:sz="6" w:space="0" w:color="auto"/>
              <w:right w:val="single" w:sz="6" w:space="0" w:color="auto"/>
            </w:tcBorders>
          </w:tcPr>
          <w:p w:rsidR="000C642B" w:rsidRDefault="000C642B" w:rsidP="00254257">
            <w:pPr>
              <w:ind w:left="1050"/>
              <w:jc w:val="right"/>
              <w:rPr>
                <w:b/>
                <w:snapToGrid w:val="0"/>
                <w:color w:val="000000"/>
              </w:rPr>
            </w:pPr>
          </w:p>
        </w:tc>
        <w:tc>
          <w:tcPr>
            <w:tcW w:w="2790" w:type="dxa"/>
            <w:tcBorders>
              <w:top w:val="double" w:sz="4" w:space="0" w:color="auto"/>
              <w:left w:val="single" w:sz="6" w:space="0" w:color="auto"/>
              <w:bottom w:val="single" w:sz="6" w:space="0" w:color="auto"/>
              <w:right w:val="single" w:sz="6" w:space="0" w:color="auto"/>
            </w:tcBorders>
          </w:tcPr>
          <w:p w:rsidR="000C642B" w:rsidRDefault="000C642B" w:rsidP="00254257">
            <w:pPr>
              <w:jc w:val="center"/>
              <w:rPr>
                <w:b/>
                <w:snapToGrid w:val="0"/>
                <w:color w:val="000000"/>
              </w:rPr>
            </w:pPr>
            <w:r>
              <w:rPr>
                <w:b/>
                <w:snapToGrid w:val="0"/>
                <w:color w:val="000000"/>
              </w:rPr>
              <w:t>Non-Defense Discretionary Spending</w:t>
            </w:r>
          </w:p>
          <w:p w:rsidR="000C642B" w:rsidRDefault="000C642B" w:rsidP="00254257">
            <w:pPr>
              <w:jc w:val="center"/>
              <w:rPr>
                <w:b/>
                <w:snapToGrid w:val="0"/>
                <w:color w:val="000000"/>
              </w:rPr>
            </w:pPr>
            <w:r>
              <w:rPr>
                <w:b/>
                <w:snapToGrid w:val="0"/>
                <w:color w:val="000000"/>
              </w:rPr>
              <w:t>(in billions)</w:t>
            </w:r>
          </w:p>
        </w:tc>
        <w:tc>
          <w:tcPr>
            <w:tcW w:w="2122" w:type="dxa"/>
            <w:tcBorders>
              <w:top w:val="double" w:sz="4" w:space="0" w:color="auto"/>
              <w:left w:val="single" w:sz="6" w:space="0" w:color="auto"/>
              <w:bottom w:val="single" w:sz="6" w:space="0" w:color="auto"/>
            </w:tcBorders>
          </w:tcPr>
          <w:p w:rsidR="000C642B" w:rsidRDefault="000C642B" w:rsidP="00405332">
            <w:pPr>
              <w:jc w:val="center"/>
              <w:rPr>
                <w:b/>
                <w:snapToGrid w:val="0"/>
                <w:color w:val="000000"/>
              </w:rPr>
            </w:pPr>
            <w:r>
              <w:rPr>
                <w:b/>
                <w:snapToGrid w:val="0"/>
                <w:color w:val="000000"/>
              </w:rPr>
              <w:t>Defense/Homeland Security Spending (in billions)</w:t>
            </w:r>
            <w:bookmarkStart w:id="0" w:name="_GoBack"/>
            <w:bookmarkEnd w:id="0"/>
          </w:p>
        </w:tc>
        <w:tc>
          <w:tcPr>
            <w:tcW w:w="1504" w:type="dxa"/>
            <w:tcBorders>
              <w:top w:val="double" w:sz="4" w:space="0" w:color="auto"/>
              <w:left w:val="single" w:sz="6" w:space="0" w:color="auto"/>
              <w:bottom w:val="single" w:sz="6" w:space="0" w:color="auto"/>
            </w:tcBorders>
          </w:tcPr>
          <w:p w:rsidR="000C642B" w:rsidRDefault="000C642B" w:rsidP="00254257">
            <w:pPr>
              <w:jc w:val="center"/>
              <w:rPr>
                <w:b/>
                <w:snapToGrid w:val="0"/>
                <w:color w:val="000000"/>
              </w:rPr>
            </w:pPr>
            <w:r>
              <w:rPr>
                <w:b/>
                <w:snapToGrid w:val="0"/>
                <w:color w:val="000000"/>
              </w:rPr>
              <w:t>Mandatory Spending (in billions)</w:t>
            </w:r>
          </w:p>
        </w:tc>
        <w:tc>
          <w:tcPr>
            <w:tcW w:w="1504" w:type="dxa"/>
            <w:tcBorders>
              <w:top w:val="double" w:sz="4" w:space="0" w:color="auto"/>
              <w:left w:val="single" w:sz="6" w:space="0" w:color="auto"/>
              <w:bottom w:val="single" w:sz="6" w:space="0" w:color="auto"/>
            </w:tcBorders>
          </w:tcPr>
          <w:p w:rsidR="000C642B" w:rsidRDefault="007B1D7F" w:rsidP="00254257">
            <w:pPr>
              <w:jc w:val="center"/>
              <w:rPr>
                <w:b/>
                <w:snapToGrid w:val="0"/>
                <w:color w:val="000000"/>
              </w:rPr>
            </w:pPr>
            <w:r>
              <w:rPr>
                <w:b/>
                <w:snapToGrid w:val="0"/>
                <w:color w:val="000000"/>
              </w:rPr>
              <w:t>Sequester Contingency</w:t>
            </w: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Clinton</w:t>
            </w:r>
            <w:r w:rsidR="00A7031C">
              <w:rPr>
                <w:snapToGrid w:val="0"/>
                <w:color w:val="000000"/>
              </w:rPr>
              <w:t>’</w:t>
            </w:r>
            <w:r>
              <w:rPr>
                <w:snapToGrid w:val="0"/>
                <w:color w:val="000000"/>
              </w:rPr>
              <w:t xml:space="preserve">s 1999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$305</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$22</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Clinton</w:t>
            </w:r>
            <w:r w:rsidR="00A7031C">
              <w:rPr>
                <w:snapToGrid w:val="0"/>
                <w:color w:val="000000"/>
              </w:rPr>
              <w:t>’</w:t>
            </w:r>
            <w:r>
              <w:rPr>
                <w:snapToGrid w:val="0"/>
                <w:color w:val="000000"/>
              </w:rPr>
              <w:t xml:space="preserve">s 2000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$119</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 xml:space="preserve">$21 </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A7031C">
              <w:rPr>
                <w:snapToGrid w:val="0"/>
                <w:color w:val="000000"/>
              </w:rPr>
              <w:t>’</w:t>
            </w:r>
            <w:r>
              <w:rPr>
                <w:snapToGrid w:val="0"/>
                <w:color w:val="000000"/>
              </w:rPr>
              <w:t xml:space="preserve">s 2002 </w:t>
            </w:r>
            <w:proofErr w:type="spellStart"/>
            <w:r>
              <w:rPr>
                <w:snapToGrid w:val="0"/>
                <w:color w:val="000000"/>
              </w:rPr>
              <w:t>SotU</w:t>
            </w:r>
            <w:proofErr w:type="spellEnd"/>
            <w:r>
              <w:rPr>
                <w:snapToGrid w:val="0"/>
                <w:color w:val="000000"/>
              </w:rPr>
              <w:t>*</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$55</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 xml:space="preserve">$51 </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A7031C">
              <w:rPr>
                <w:snapToGrid w:val="0"/>
                <w:color w:val="000000"/>
              </w:rPr>
              <w:t>’</w:t>
            </w:r>
            <w:r>
              <w:rPr>
                <w:snapToGrid w:val="0"/>
                <w:color w:val="000000"/>
              </w:rPr>
              <w:t xml:space="preserve">s 2003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$46</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 xml:space="preserve">$6 </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A7031C">
              <w:rPr>
                <w:snapToGrid w:val="0"/>
                <w:color w:val="000000"/>
              </w:rPr>
              <w:t>’</w:t>
            </w:r>
            <w:r>
              <w:rPr>
                <w:snapToGrid w:val="0"/>
                <w:color w:val="000000"/>
              </w:rPr>
              <w:t xml:space="preserve">s 2004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$13.6</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N/A</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nil"/>
              <w:right w:val="single" w:sz="6" w:space="0" w:color="auto"/>
            </w:tcBorders>
          </w:tcPr>
          <w:p w:rsidR="000C642B" w:rsidRDefault="000C642B" w:rsidP="00254257">
            <w:pPr>
              <w:rPr>
                <w:snapToGrid w:val="0"/>
                <w:color w:val="000000"/>
              </w:rPr>
            </w:pPr>
            <w:r>
              <w:rPr>
                <w:snapToGrid w:val="0"/>
                <w:color w:val="000000"/>
              </w:rPr>
              <w:t>President Bush</w:t>
            </w:r>
            <w:r w:rsidR="00A7031C">
              <w:rPr>
                <w:snapToGrid w:val="0"/>
                <w:color w:val="000000"/>
              </w:rPr>
              <w:t>’</w:t>
            </w:r>
            <w:r>
              <w:rPr>
                <w:snapToGrid w:val="0"/>
                <w:color w:val="000000"/>
              </w:rPr>
              <w:t xml:space="preserve">s 2005 </w:t>
            </w:r>
            <w:proofErr w:type="spellStart"/>
            <w:r>
              <w:rPr>
                <w:snapToGrid w:val="0"/>
                <w:color w:val="000000"/>
              </w:rPr>
              <w:t>SotU</w:t>
            </w:r>
            <w:proofErr w:type="spellEnd"/>
          </w:p>
        </w:tc>
        <w:tc>
          <w:tcPr>
            <w:tcW w:w="2790" w:type="dxa"/>
            <w:tcBorders>
              <w:top w:val="single" w:sz="6" w:space="0" w:color="auto"/>
              <w:left w:val="single" w:sz="6" w:space="0" w:color="auto"/>
              <w:bottom w:val="nil"/>
              <w:right w:val="single" w:sz="6" w:space="0" w:color="auto"/>
            </w:tcBorders>
          </w:tcPr>
          <w:p w:rsidR="000C642B" w:rsidRDefault="000C642B" w:rsidP="00254257">
            <w:pPr>
              <w:jc w:val="center"/>
              <w:rPr>
                <w:snapToGrid w:val="0"/>
                <w:color w:val="000000"/>
              </w:rPr>
            </w:pPr>
            <w:r>
              <w:rPr>
                <w:snapToGrid w:val="0"/>
                <w:color w:val="000000"/>
              </w:rPr>
              <w:t>$12.8</w:t>
            </w:r>
          </w:p>
        </w:tc>
        <w:tc>
          <w:tcPr>
            <w:tcW w:w="2122" w:type="dxa"/>
            <w:tcBorders>
              <w:top w:val="single" w:sz="6" w:space="0" w:color="auto"/>
              <w:left w:val="single" w:sz="6" w:space="0" w:color="auto"/>
              <w:bottom w:val="nil"/>
            </w:tcBorders>
          </w:tcPr>
          <w:p w:rsidR="000C642B" w:rsidRDefault="000C642B" w:rsidP="00254257">
            <w:pPr>
              <w:jc w:val="center"/>
              <w:rPr>
                <w:snapToGrid w:val="0"/>
                <w:color w:val="000000"/>
              </w:rPr>
            </w:pPr>
            <w:r>
              <w:rPr>
                <w:snapToGrid w:val="0"/>
                <w:color w:val="000000"/>
              </w:rPr>
              <w:t>N/A</w:t>
            </w:r>
          </w:p>
        </w:tc>
        <w:tc>
          <w:tcPr>
            <w:tcW w:w="1504" w:type="dxa"/>
            <w:tcBorders>
              <w:top w:val="single" w:sz="6" w:space="0" w:color="auto"/>
              <w:left w:val="single" w:sz="6" w:space="0" w:color="auto"/>
              <w:bottom w:val="nil"/>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nil"/>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A7031C">
              <w:rPr>
                <w:snapToGrid w:val="0"/>
                <w:color w:val="000000"/>
              </w:rPr>
              <w:t>’</w:t>
            </w:r>
            <w:r>
              <w:rPr>
                <w:snapToGrid w:val="0"/>
                <w:color w:val="000000"/>
              </w:rPr>
              <w:t xml:space="preserve">s 2006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$.091</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N/A</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A7031C">
              <w:rPr>
                <w:snapToGrid w:val="0"/>
                <w:color w:val="000000"/>
              </w:rPr>
              <w:t>’</w:t>
            </w:r>
            <w:r>
              <w:rPr>
                <w:snapToGrid w:val="0"/>
                <w:color w:val="000000"/>
              </w:rPr>
              <w:t xml:space="preserve">s 2007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rPr>
            </w:pPr>
            <w:r>
              <w:rPr>
                <w:snapToGrid w:val="0"/>
              </w:rPr>
              <w:t>$3.48</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rPr>
            </w:pPr>
            <w:r>
              <w:rPr>
                <w:snapToGrid w:val="0"/>
              </w:rPr>
              <w:t>$8.9</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A7031C">
              <w:rPr>
                <w:snapToGrid w:val="0"/>
                <w:color w:val="000000"/>
              </w:rPr>
              <w:t>’</w:t>
            </w:r>
            <w:r>
              <w:rPr>
                <w:snapToGrid w:val="0"/>
                <w:color w:val="000000"/>
              </w:rPr>
              <w:t xml:space="preserve">s 2008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pPr>
            <w:r>
              <w:t xml:space="preserve">$24.75 </w:t>
            </w:r>
          </w:p>
        </w:tc>
        <w:tc>
          <w:tcPr>
            <w:tcW w:w="2122" w:type="dxa"/>
            <w:tcBorders>
              <w:top w:val="single" w:sz="6" w:space="0" w:color="auto"/>
              <w:left w:val="single" w:sz="6" w:space="0" w:color="auto"/>
              <w:bottom w:val="single" w:sz="6" w:space="0" w:color="auto"/>
            </w:tcBorders>
          </w:tcPr>
          <w:p w:rsidR="000C642B" w:rsidRDefault="000C642B" w:rsidP="00254257">
            <w:pPr>
              <w:jc w:val="center"/>
            </w:pPr>
            <w:r>
              <w:t xml:space="preserve">$109.89 </w:t>
            </w:r>
          </w:p>
        </w:tc>
        <w:tc>
          <w:tcPr>
            <w:tcW w:w="1504" w:type="dxa"/>
            <w:tcBorders>
              <w:top w:val="single" w:sz="6" w:space="0" w:color="auto"/>
              <w:left w:val="single" w:sz="6" w:space="0" w:color="auto"/>
              <w:bottom w:val="single" w:sz="6" w:space="0" w:color="auto"/>
            </w:tcBorders>
          </w:tcPr>
          <w:p w:rsidR="000C642B" w:rsidRDefault="000C642B" w:rsidP="00254257">
            <w:pPr>
              <w:jc w:val="center"/>
            </w:pPr>
          </w:p>
        </w:tc>
        <w:tc>
          <w:tcPr>
            <w:tcW w:w="1504" w:type="dxa"/>
            <w:tcBorders>
              <w:top w:val="single" w:sz="6" w:space="0" w:color="auto"/>
              <w:left w:val="single" w:sz="6" w:space="0" w:color="auto"/>
              <w:bottom w:val="single" w:sz="6" w:space="0" w:color="auto"/>
            </w:tcBorders>
          </w:tcPr>
          <w:p w:rsidR="000C642B" w:rsidRDefault="000C642B" w:rsidP="00254257">
            <w:pPr>
              <w:jc w:val="cente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Obama</w:t>
            </w:r>
            <w:r w:rsidR="00A7031C">
              <w:rPr>
                <w:snapToGrid w:val="0"/>
                <w:color w:val="000000"/>
              </w:rPr>
              <w:t>’</w:t>
            </w:r>
            <w:r>
              <w:rPr>
                <w:snapToGrid w:val="0"/>
                <w:color w:val="000000"/>
              </w:rPr>
              <w:t xml:space="preserve">s 2010 </w:t>
            </w:r>
            <w:proofErr w:type="spellStart"/>
            <w:r>
              <w:rPr>
                <w:snapToGrid w:val="0"/>
                <w:color w:val="000000"/>
              </w:rPr>
              <w:t>SotU</w:t>
            </w:r>
            <w:proofErr w:type="spellEnd"/>
            <w:r>
              <w:rPr>
                <w:snapToGrid w:val="0"/>
                <w:color w:val="000000"/>
              </w:rPr>
              <w:t>*</w:t>
            </w:r>
          </w:p>
        </w:tc>
        <w:tc>
          <w:tcPr>
            <w:tcW w:w="2790" w:type="dxa"/>
            <w:tcBorders>
              <w:top w:val="single" w:sz="6" w:space="0" w:color="auto"/>
              <w:left w:val="single" w:sz="6" w:space="0" w:color="auto"/>
              <w:bottom w:val="single" w:sz="6" w:space="0" w:color="auto"/>
              <w:right w:val="single" w:sz="6" w:space="0" w:color="auto"/>
            </w:tcBorders>
          </w:tcPr>
          <w:p w:rsidR="000C642B" w:rsidRPr="006771A0" w:rsidRDefault="000C642B" w:rsidP="00254257">
            <w:pPr>
              <w:jc w:val="center"/>
            </w:pPr>
            <w:r w:rsidRPr="006771A0">
              <w:t>$10.2</w:t>
            </w:r>
          </w:p>
        </w:tc>
        <w:tc>
          <w:tcPr>
            <w:tcW w:w="2122" w:type="dxa"/>
            <w:tcBorders>
              <w:top w:val="single" w:sz="6" w:space="0" w:color="auto"/>
              <w:left w:val="single" w:sz="6" w:space="0" w:color="auto"/>
              <w:bottom w:val="single" w:sz="6" w:space="0" w:color="auto"/>
            </w:tcBorders>
          </w:tcPr>
          <w:p w:rsidR="000C642B" w:rsidRDefault="000C642B" w:rsidP="00254257">
            <w:pPr>
              <w:jc w:val="center"/>
            </w:pPr>
            <w:r w:rsidRPr="006771A0">
              <w:t>$11.3</w:t>
            </w:r>
          </w:p>
        </w:tc>
        <w:tc>
          <w:tcPr>
            <w:tcW w:w="1504" w:type="dxa"/>
            <w:tcBorders>
              <w:top w:val="single" w:sz="6" w:space="0" w:color="auto"/>
              <w:left w:val="single" w:sz="6" w:space="0" w:color="auto"/>
              <w:bottom w:val="single" w:sz="6" w:space="0" w:color="auto"/>
            </w:tcBorders>
          </w:tcPr>
          <w:p w:rsidR="000C642B" w:rsidRDefault="000C642B" w:rsidP="00254257">
            <w:pPr>
              <w:jc w:val="center"/>
            </w:pPr>
            <w:r>
              <w:t xml:space="preserve">$49.0 </w:t>
            </w:r>
          </w:p>
        </w:tc>
        <w:tc>
          <w:tcPr>
            <w:tcW w:w="1504" w:type="dxa"/>
            <w:tcBorders>
              <w:top w:val="single" w:sz="6" w:space="0" w:color="auto"/>
              <w:left w:val="single" w:sz="6" w:space="0" w:color="auto"/>
              <w:bottom w:val="single" w:sz="6" w:space="0" w:color="auto"/>
            </w:tcBorders>
          </w:tcPr>
          <w:p w:rsidR="000C642B" w:rsidRDefault="000C642B" w:rsidP="00254257">
            <w:pPr>
              <w:jc w:val="center"/>
            </w:pPr>
          </w:p>
        </w:tc>
      </w:tr>
      <w:tr w:rsidR="000C642B" w:rsidRPr="00F64874"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Obama</w:t>
            </w:r>
            <w:r w:rsidR="00A7031C">
              <w:rPr>
                <w:snapToGrid w:val="0"/>
                <w:color w:val="000000"/>
              </w:rPr>
              <w:t>’</w:t>
            </w:r>
            <w:r>
              <w:rPr>
                <w:snapToGrid w:val="0"/>
                <w:color w:val="000000"/>
              </w:rPr>
              <w:t xml:space="preserve">s 2011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0C642B" w:rsidRPr="006771A0" w:rsidRDefault="000C642B" w:rsidP="00254257">
            <w:pPr>
              <w:jc w:val="center"/>
            </w:pPr>
            <w:r>
              <w:t>$39.01</w:t>
            </w:r>
          </w:p>
        </w:tc>
        <w:tc>
          <w:tcPr>
            <w:tcW w:w="2122" w:type="dxa"/>
            <w:tcBorders>
              <w:top w:val="single" w:sz="6" w:space="0" w:color="auto"/>
              <w:left w:val="single" w:sz="6" w:space="0" w:color="auto"/>
              <w:bottom w:val="single" w:sz="6" w:space="0" w:color="auto"/>
            </w:tcBorders>
          </w:tcPr>
          <w:p w:rsidR="000C642B" w:rsidRPr="006771A0" w:rsidRDefault="000C642B" w:rsidP="00254257">
            <w:pPr>
              <w:jc w:val="center"/>
            </w:pPr>
            <w:r>
              <w:t>($15.6)</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r w:rsidRPr="00F64874">
              <w:t>($2.1)</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p>
        </w:tc>
      </w:tr>
      <w:tr w:rsidR="000C642B" w:rsidRPr="00F64874" w:rsidTr="00E71600">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Obama</w:t>
            </w:r>
            <w:r w:rsidR="00A7031C">
              <w:rPr>
                <w:snapToGrid w:val="0"/>
                <w:color w:val="000000"/>
              </w:rPr>
              <w:t>’</w:t>
            </w:r>
            <w:r>
              <w:rPr>
                <w:snapToGrid w:val="0"/>
                <w:color w:val="000000"/>
              </w:rPr>
              <w:t xml:space="preserve">s 2012 </w:t>
            </w:r>
            <w:proofErr w:type="spellStart"/>
            <w:r>
              <w:rPr>
                <w:snapToGrid w:val="0"/>
                <w:color w:val="000000"/>
              </w:rPr>
              <w:t>SotU</w:t>
            </w:r>
            <w:proofErr w:type="spellEnd"/>
          </w:p>
        </w:tc>
        <w:tc>
          <w:tcPr>
            <w:tcW w:w="2790" w:type="dxa"/>
            <w:tcBorders>
              <w:top w:val="single" w:sz="6" w:space="0" w:color="auto"/>
              <w:left w:val="single" w:sz="6" w:space="0" w:color="auto"/>
              <w:bottom w:val="single" w:sz="6" w:space="0" w:color="auto"/>
              <w:right w:val="single" w:sz="6" w:space="0" w:color="auto"/>
            </w:tcBorders>
          </w:tcPr>
          <w:p w:rsidR="000C642B" w:rsidRPr="009B2E40" w:rsidRDefault="000C642B" w:rsidP="00254257">
            <w:pPr>
              <w:jc w:val="center"/>
              <w:outlineLvl w:val="0"/>
            </w:pPr>
            <w:r>
              <w:t>$20</w:t>
            </w:r>
            <w:r w:rsidRPr="009B2E40">
              <w:t>.7</w:t>
            </w:r>
            <w:r>
              <w:t>8</w:t>
            </w:r>
            <w:r w:rsidRPr="009B2E40">
              <w:t>9</w:t>
            </w:r>
          </w:p>
        </w:tc>
        <w:tc>
          <w:tcPr>
            <w:tcW w:w="2122" w:type="dxa"/>
            <w:tcBorders>
              <w:top w:val="single" w:sz="6" w:space="0" w:color="auto"/>
              <w:left w:val="single" w:sz="6" w:space="0" w:color="auto"/>
              <w:bottom w:val="single" w:sz="6" w:space="0" w:color="auto"/>
            </w:tcBorders>
          </w:tcPr>
          <w:p w:rsidR="000C642B" w:rsidRPr="009B2E40" w:rsidRDefault="000C642B" w:rsidP="00254257">
            <w:pPr>
              <w:jc w:val="center"/>
              <w:outlineLvl w:val="0"/>
            </w:pPr>
            <w:r w:rsidRPr="009B2E40">
              <w:t>($48.7)</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r w:rsidRPr="00F64874">
              <w:t>($0.</w:t>
            </w:r>
            <w:r>
              <w:t>08</w:t>
            </w:r>
            <w:r w:rsidRPr="00F64874">
              <w:t>)</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p>
        </w:tc>
      </w:tr>
      <w:tr w:rsidR="007B1D7F" w:rsidRPr="00F64874" w:rsidTr="00A36880">
        <w:trPr>
          <w:trHeight w:val="250"/>
        </w:trPr>
        <w:tc>
          <w:tcPr>
            <w:tcW w:w="3150" w:type="dxa"/>
            <w:tcBorders>
              <w:top w:val="single" w:sz="6" w:space="0" w:color="auto"/>
              <w:bottom w:val="single" w:sz="4" w:space="0" w:color="auto"/>
              <w:right w:val="single" w:sz="6" w:space="0" w:color="auto"/>
            </w:tcBorders>
          </w:tcPr>
          <w:p w:rsidR="007B1D7F" w:rsidRDefault="007B1D7F" w:rsidP="00966398">
            <w:pPr>
              <w:rPr>
                <w:snapToGrid w:val="0"/>
                <w:color w:val="000000"/>
              </w:rPr>
            </w:pPr>
            <w:r>
              <w:rPr>
                <w:snapToGrid w:val="0"/>
                <w:color w:val="000000"/>
              </w:rPr>
              <w:t>President Obama</w:t>
            </w:r>
            <w:r w:rsidR="00A7031C">
              <w:rPr>
                <w:snapToGrid w:val="0"/>
                <w:color w:val="000000"/>
              </w:rPr>
              <w:t>’</w:t>
            </w:r>
            <w:r>
              <w:rPr>
                <w:snapToGrid w:val="0"/>
                <w:color w:val="000000"/>
              </w:rPr>
              <w:t xml:space="preserve">s 2013 </w:t>
            </w:r>
            <w:proofErr w:type="spellStart"/>
            <w:r>
              <w:rPr>
                <w:snapToGrid w:val="0"/>
                <w:color w:val="000000"/>
              </w:rPr>
              <w:t>SotU</w:t>
            </w:r>
            <w:proofErr w:type="spellEnd"/>
          </w:p>
        </w:tc>
        <w:tc>
          <w:tcPr>
            <w:tcW w:w="2790" w:type="dxa"/>
            <w:tcBorders>
              <w:top w:val="single" w:sz="6" w:space="0" w:color="auto"/>
              <w:left w:val="single" w:sz="6" w:space="0" w:color="auto"/>
              <w:bottom w:val="single" w:sz="4" w:space="0" w:color="auto"/>
              <w:right w:val="single" w:sz="6" w:space="0" w:color="auto"/>
            </w:tcBorders>
          </w:tcPr>
          <w:p w:rsidR="007B1D7F" w:rsidRDefault="007B1D7F" w:rsidP="00254257">
            <w:pPr>
              <w:jc w:val="center"/>
              <w:outlineLvl w:val="0"/>
            </w:pPr>
            <w:r>
              <w:t>$27.134</w:t>
            </w:r>
          </w:p>
        </w:tc>
        <w:tc>
          <w:tcPr>
            <w:tcW w:w="2122" w:type="dxa"/>
            <w:tcBorders>
              <w:top w:val="single" w:sz="6" w:space="0" w:color="auto"/>
              <w:left w:val="single" w:sz="6" w:space="0" w:color="auto"/>
              <w:bottom w:val="single" w:sz="4" w:space="0" w:color="auto"/>
            </w:tcBorders>
          </w:tcPr>
          <w:p w:rsidR="007B1D7F" w:rsidRPr="009B2E40" w:rsidRDefault="00192D75" w:rsidP="00254257">
            <w:pPr>
              <w:jc w:val="center"/>
              <w:outlineLvl w:val="0"/>
            </w:pPr>
            <w:r>
              <w:t>N/A</w:t>
            </w:r>
          </w:p>
        </w:tc>
        <w:tc>
          <w:tcPr>
            <w:tcW w:w="1504" w:type="dxa"/>
            <w:tcBorders>
              <w:top w:val="single" w:sz="6" w:space="0" w:color="auto"/>
              <w:left w:val="single" w:sz="6" w:space="0" w:color="auto"/>
              <w:bottom w:val="single" w:sz="4" w:space="0" w:color="auto"/>
            </w:tcBorders>
          </w:tcPr>
          <w:p w:rsidR="007B1D7F" w:rsidRPr="007B1D7F" w:rsidRDefault="007B1D7F" w:rsidP="007B1D7F">
            <w:pPr>
              <w:jc w:val="center"/>
              <w:rPr>
                <w:color w:val="000000"/>
              </w:rPr>
            </w:pPr>
            <w:r>
              <w:rPr>
                <w:color w:val="000000"/>
              </w:rPr>
              <w:t>$56.273</w:t>
            </w:r>
          </w:p>
        </w:tc>
        <w:tc>
          <w:tcPr>
            <w:tcW w:w="1504" w:type="dxa"/>
            <w:tcBorders>
              <w:top w:val="single" w:sz="6" w:space="0" w:color="auto"/>
              <w:left w:val="single" w:sz="6" w:space="0" w:color="auto"/>
              <w:bottom w:val="single" w:sz="4" w:space="0" w:color="auto"/>
            </w:tcBorders>
          </w:tcPr>
          <w:p w:rsidR="007B1D7F" w:rsidRPr="00F64874" w:rsidRDefault="007B1D7F" w:rsidP="00254257">
            <w:pPr>
              <w:jc w:val="center"/>
            </w:pPr>
            <w:r>
              <w:t>$17</w:t>
            </w:r>
          </w:p>
        </w:tc>
      </w:tr>
      <w:tr w:rsidR="00EC34B8" w:rsidRPr="00F64874" w:rsidTr="00A36880">
        <w:trPr>
          <w:trHeight w:val="250"/>
        </w:trPr>
        <w:tc>
          <w:tcPr>
            <w:tcW w:w="3150" w:type="dxa"/>
            <w:tcBorders>
              <w:top w:val="single" w:sz="4" w:space="0" w:color="auto"/>
              <w:bottom w:val="single" w:sz="4" w:space="0" w:color="auto"/>
              <w:right w:val="single" w:sz="6" w:space="0" w:color="auto"/>
            </w:tcBorders>
          </w:tcPr>
          <w:p w:rsidR="00EC34B8" w:rsidRDefault="00EC34B8" w:rsidP="00E71600">
            <w:pPr>
              <w:rPr>
                <w:snapToGrid w:val="0"/>
                <w:color w:val="000000"/>
              </w:rPr>
            </w:pPr>
            <w:r>
              <w:rPr>
                <w:snapToGrid w:val="0"/>
                <w:color w:val="000000"/>
              </w:rPr>
              <w:t>President Obama</w:t>
            </w:r>
            <w:r w:rsidR="00A7031C">
              <w:rPr>
                <w:snapToGrid w:val="0"/>
                <w:color w:val="000000"/>
              </w:rPr>
              <w:t>’</w:t>
            </w:r>
            <w:r>
              <w:rPr>
                <w:snapToGrid w:val="0"/>
                <w:color w:val="000000"/>
              </w:rPr>
              <w:t xml:space="preserve">s 2014 </w:t>
            </w:r>
            <w:proofErr w:type="spellStart"/>
            <w:r>
              <w:rPr>
                <w:snapToGrid w:val="0"/>
                <w:color w:val="000000"/>
              </w:rPr>
              <w:t>SotU</w:t>
            </w:r>
            <w:proofErr w:type="spellEnd"/>
          </w:p>
        </w:tc>
        <w:tc>
          <w:tcPr>
            <w:tcW w:w="2790" w:type="dxa"/>
            <w:tcBorders>
              <w:top w:val="single" w:sz="4" w:space="0" w:color="auto"/>
              <w:left w:val="single" w:sz="6" w:space="0" w:color="auto"/>
              <w:bottom w:val="single" w:sz="4" w:space="0" w:color="auto"/>
              <w:right w:val="single" w:sz="6" w:space="0" w:color="auto"/>
            </w:tcBorders>
          </w:tcPr>
          <w:p w:rsidR="00EC34B8" w:rsidRPr="00673061" w:rsidRDefault="00EC34B8" w:rsidP="00EC34B8">
            <w:pPr>
              <w:jc w:val="center"/>
            </w:pPr>
            <w:r w:rsidRPr="00673061">
              <w:t>$7.80</w:t>
            </w:r>
            <w:r w:rsidR="00AF5667">
              <w:t>4</w:t>
            </w:r>
          </w:p>
        </w:tc>
        <w:tc>
          <w:tcPr>
            <w:tcW w:w="2122" w:type="dxa"/>
            <w:tcBorders>
              <w:top w:val="single" w:sz="4" w:space="0" w:color="auto"/>
              <w:left w:val="single" w:sz="6" w:space="0" w:color="auto"/>
              <w:bottom w:val="single" w:sz="4" w:space="0" w:color="auto"/>
            </w:tcBorders>
          </w:tcPr>
          <w:p w:rsidR="00EC34B8" w:rsidRPr="00673061" w:rsidRDefault="00EC34B8" w:rsidP="00EC34B8">
            <w:pPr>
              <w:jc w:val="center"/>
            </w:pPr>
            <w:r w:rsidRPr="00673061">
              <w:t>N/A</w:t>
            </w:r>
          </w:p>
        </w:tc>
        <w:tc>
          <w:tcPr>
            <w:tcW w:w="1504" w:type="dxa"/>
            <w:tcBorders>
              <w:top w:val="single" w:sz="4" w:space="0" w:color="auto"/>
              <w:left w:val="single" w:sz="6" w:space="0" w:color="auto"/>
              <w:bottom w:val="single" w:sz="4" w:space="0" w:color="auto"/>
            </w:tcBorders>
          </w:tcPr>
          <w:p w:rsidR="00EC34B8" w:rsidRDefault="00EC34B8" w:rsidP="00EC34B8">
            <w:pPr>
              <w:jc w:val="center"/>
            </w:pPr>
            <w:r w:rsidRPr="00673061">
              <w:t>$32.19</w:t>
            </w:r>
            <w:r w:rsidR="00AF5667">
              <w:t>1</w:t>
            </w:r>
          </w:p>
        </w:tc>
        <w:tc>
          <w:tcPr>
            <w:tcW w:w="1504" w:type="dxa"/>
            <w:tcBorders>
              <w:top w:val="single" w:sz="4" w:space="0" w:color="auto"/>
              <w:left w:val="single" w:sz="6" w:space="0" w:color="auto"/>
              <w:bottom w:val="single" w:sz="4" w:space="0" w:color="auto"/>
            </w:tcBorders>
          </w:tcPr>
          <w:p w:rsidR="00EC34B8" w:rsidRDefault="00EC34B8" w:rsidP="00254257">
            <w:pPr>
              <w:jc w:val="center"/>
            </w:pPr>
          </w:p>
        </w:tc>
      </w:tr>
      <w:tr w:rsidR="00A7031C" w:rsidRPr="00F64874" w:rsidTr="00A36880">
        <w:trPr>
          <w:trHeight w:val="250"/>
        </w:trPr>
        <w:tc>
          <w:tcPr>
            <w:tcW w:w="3150" w:type="dxa"/>
            <w:tcBorders>
              <w:top w:val="single" w:sz="4" w:space="0" w:color="auto"/>
              <w:bottom w:val="double" w:sz="4" w:space="0" w:color="auto"/>
              <w:right w:val="single" w:sz="6" w:space="0" w:color="auto"/>
            </w:tcBorders>
          </w:tcPr>
          <w:p w:rsidR="00A7031C" w:rsidRDefault="00A7031C" w:rsidP="00A7031C">
            <w:pPr>
              <w:rPr>
                <w:snapToGrid w:val="0"/>
                <w:color w:val="000000"/>
              </w:rPr>
            </w:pPr>
            <w:r>
              <w:rPr>
                <w:snapToGrid w:val="0"/>
                <w:color w:val="000000"/>
              </w:rPr>
              <w:t xml:space="preserve">President Obama’s 2015 </w:t>
            </w:r>
            <w:proofErr w:type="spellStart"/>
            <w:r>
              <w:rPr>
                <w:snapToGrid w:val="0"/>
                <w:color w:val="000000"/>
              </w:rPr>
              <w:t>SotU</w:t>
            </w:r>
            <w:proofErr w:type="spellEnd"/>
          </w:p>
        </w:tc>
        <w:tc>
          <w:tcPr>
            <w:tcW w:w="2790" w:type="dxa"/>
            <w:tcBorders>
              <w:top w:val="single" w:sz="4" w:space="0" w:color="auto"/>
              <w:left w:val="single" w:sz="6" w:space="0" w:color="auto"/>
              <w:bottom w:val="double" w:sz="4" w:space="0" w:color="auto"/>
              <w:right w:val="single" w:sz="6" w:space="0" w:color="auto"/>
            </w:tcBorders>
          </w:tcPr>
          <w:p w:rsidR="00A7031C" w:rsidRPr="00673061" w:rsidRDefault="00A36880" w:rsidP="00EC34B8">
            <w:pPr>
              <w:jc w:val="center"/>
            </w:pPr>
            <w:r>
              <w:t>$30.061</w:t>
            </w:r>
          </w:p>
        </w:tc>
        <w:tc>
          <w:tcPr>
            <w:tcW w:w="2122" w:type="dxa"/>
            <w:tcBorders>
              <w:top w:val="single" w:sz="4" w:space="0" w:color="auto"/>
              <w:left w:val="single" w:sz="6" w:space="0" w:color="auto"/>
              <w:bottom w:val="double" w:sz="4" w:space="0" w:color="auto"/>
            </w:tcBorders>
          </w:tcPr>
          <w:p w:rsidR="00A7031C" w:rsidRPr="00673061" w:rsidRDefault="00A7031C" w:rsidP="00EC34B8">
            <w:pPr>
              <w:jc w:val="center"/>
            </w:pPr>
          </w:p>
        </w:tc>
        <w:tc>
          <w:tcPr>
            <w:tcW w:w="1504" w:type="dxa"/>
            <w:tcBorders>
              <w:top w:val="single" w:sz="4" w:space="0" w:color="auto"/>
              <w:left w:val="single" w:sz="6" w:space="0" w:color="auto"/>
              <w:bottom w:val="double" w:sz="4" w:space="0" w:color="auto"/>
            </w:tcBorders>
          </w:tcPr>
          <w:p w:rsidR="00A7031C" w:rsidRPr="00673061" w:rsidRDefault="00E83E4D" w:rsidP="00EC34B8">
            <w:pPr>
              <w:jc w:val="center"/>
            </w:pPr>
            <w:r>
              <w:t>$10.906</w:t>
            </w:r>
          </w:p>
        </w:tc>
        <w:tc>
          <w:tcPr>
            <w:tcW w:w="1504" w:type="dxa"/>
            <w:tcBorders>
              <w:top w:val="single" w:sz="4" w:space="0" w:color="auto"/>
              <w:left w:val="single" w:sz="6" w:space="0" w:color="auto"/>
              <w:bottom w:val="double" w:sz="4" w:space="0" w:color="auto"/>
            </w:tcBorders>
          </w:tcPr>
          <w:p w:rsidR="00A7031C" w:rsidRDefault="00A7031C" w:rsidP="00254257">
            <w:pPr>
              <w:jc w:val="center"/>
            </w:pPr>
          </w:p>
        </w:tc>
      </w:tr>
      <w:tr w:rsidR="00F02835" w:rsidRPr="00E93A01" w:rsidTr="000C642B">
        <w:trPr>
          <w:trHeight w:val="484"/>
        </w:trPr>
        <w:tc>
          <w:tcPr>
            <w:tcW w:w="11070" w:type="dxa"/>
            <w:gridSpan w:val="5"/>
            <w:tcBorders>
              <w:top w:val="nil"/>
            </w:tcBorders>
          </w:tcPr>
          <w:p w:rsidR="00F02835" w:rsidRPr="00E93A01" w:rsidRDefault="00F02835" w:rsidP="00254257">
            <w:pPr>
              <w:rPr>
                <w:snapToGrid w:val="0"/>
                <w:color w:val="000000"/>
                <w:sz w:val="18"/>
                <w:szCs w:val="18"/>
              </w:rPr>
            </w:pPr>
            <w:r w:rsidRPr="00E93A01">
              <w:rPr>
                <w:snapToGrid w:val="0"/>
                <w:color w:val="000000"/>
                <w:sz w:val="18"/>
                <w:szCs w:val="18"/>
              </w:rPr>
              <w:t>*Historically Presidents do not give State of the Union addresses their first year in office (2001 for President Bush, 2009 for President Obama).</w:t>
            </w:r>
          </w:p>
        </w:tc>
      </w:tr>
    </w:tbl>
    <w:p w:rsidR="00F02835" w:rsidRDefault="00F02835"/>
    <w:p w:rsidR="007201D6" w:rsidRDefault="007201D6"/>
    <w:p w:rsidR="00F02835" w:rsidRDefault="00F02835"/>
    <w:p w:rsidR="00F02835" w:rsidRDefault="00F02835"/>
    <w:p w:rsidR="00F02835" w:rsidRDefault="00F02835" w:rsidP="007201D6">
      <w:pPr>
        <w:ind w:firstLine="720"/>
      </w:pPr>
    </w:p>
    <w:p w:rsidR="00F02835" w:rsidRDefault="00F02835"/>
    <w:p w:rsidR="00F02835" w:rsidRDefault="008B133B">
      <w:r w:rsidRPr="008B133B">
        <w:rPr>
          <w:noProof/>
        </w:rPr>
        <w:lastRenderedPageBreak/>
        <w:drawing>
          <wp:inline distT="0" distB="0" distL="0" distR="0">
            <wp:extent cx="5715000" cy="5002457"/>
            <wp:effectExtent l="19050" t="0" r="19050" b="7693"/>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E513C" w:rsidRPr="007E513C" w:rsidDel="007E513C">
        <w:t xml:space="preserve"> </w:t>
      </w:r>
    </w:p>
    <w:p w:rsidR="00915496" w:rsidRDefault="00915496">
      <w:pPr>
        <w:rPr>
          <w:snapToGrid w:val="0"/>
          <w:color w:val="000000"/>
          <w:sz w:val="18"/>
          <w:szCs w:val="18"/>
        </w:rPr>
      </w:pPr>
    </w:p>
    <w:p w:rsidR="00F02835" w:rsidRDefault="00367BE2">
      <w:r w:rsidRPr="00E93A01">
        <w:rPr>
          <w:snapToGrid w:val="0"/>
          <w:color w:val="000000"/>
          <w:sz w:val="18"/>
          <w:szCs w:val="18"/>
        </w:rPr>
        <w:t>*Historically Presidents do not give State of the Union addresses their first year in office (2001 for President Bush, 2009 for President Obama).</w:t>
      </w:r>
    </w:p>
    <w:sectPr w:rsidR="00F02835" w:rsidSect="003F5A90">
      <w:headerReference w:type="first" r:id="rId8"/>
      <w:footerReference w:type="first" r:id="rId9"/>
      <w:pgSz w:w="12240" w:h="15840"/>
      <w:pgMar w:top="1440" w:right="180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103" w:rsidRDefault="00D97103" w:rsidP="003F5A90">
      <w:r>
        <w:separator/>
      </w:r>
    </w:p>
  </w:endnote>
  <w:endnote w:type="continuationSeparator" w:id="0">
    <w:p w:rsidR="00D97103" w:rsidRDefault="00D97103" w:rsidP="003F5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47" w:rsidRDefault="00405332">
    <w:pPr>
      <w:pStyle w:val="Footer"/>
    </w:pPr>
    <w:r>
      <w:rPr>
        <w:noProof/>
      </w:rPr>
      <w:drawing>
        <wp:inline distT="0" distB="0" distL="0" distR="0">
          <wp:extent cx="5943600" cy="114300"/>
          <wp:effectExtent l="0" t="0" r="0" b="12700"/>
          <wp:docPr id="3" name="Picture 2" descr="Description: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tto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143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103" w:rsidRDefault="00D97103" w:rsidP="003F5A90">
      <w:r>
        <w:separator/>
      </w:r>
    </w:p>
  </w:footnote>
  <w:footnote w:type="continuationSeparator" w:id="0">
    <w:p w:rsidR="00D97103" w:rsidRDefault="00D97103" w:rsidP="003F5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47" w:rsidRDefault="00405332" w:rsidP="003F5A90">
    <w:pPr>
      <w:pStyle w:val="Header"/>
      <w:jc w:val="center"/>
    </w:pPr>
    <w:r>
      <w:rPr>
        <w:noProof/>
      </w:rPr>
      <w:drawing>
        <wp:inline distT="0" distB="0" distL="0" distR="0">
          <wp:extent cx="1593850" cy="647700"/>
          <wp:effectExtent l="0" t="0" r="6350" b="12700"/>
          <wp:docPr id="2" name="Picture 1" descr="Description: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75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93850" cy="6477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hdrShapeDefaults>
    <o:shapedefaults v:ext="edit" spidmax="46081"/>
  </w:hdrShapeDefaults>
  <w:footnotePr>
    <w:footnote w:id="-1"/>
    <w:footnote w:id="0"/>
  </w:footnotePr>
  <w:endnotePr>
    <w:endnote w:id="-1"/>
    <w:endnote w:id="0"/>
  </w:endnotePr>
  <w:compat/>
  <w:rsids>
    <w:rsidRoot w:val="004943A4"/>
    <w:rsid w:val="0000709D"/>
    <w:rsid w:val="00060576"/>
    <w:rsid w:val="00065DAC"/>
    <w:rsid w:val="000735D3"/>
    <w:rsid w:val="00076675"/>
    <w:rsid w:val="00084AE0"/>
    <w:rsid w:val="000A3076"/>
    <w:rsid w:val="000A4901"/>
    <w:rsid w:val="000C642B"/>
    <w:rsid w:val="000C71FB"/>
    <w:rsid w:val="000E0E7D"/>
    <w:rsid w:val="000F65E0"/>
    <w:rsid w:val="00101EA1"/>
    <w:rsid w:val="00172214"/>
    <w:rsid w:val="00191497"/>
    <w:rsid w:val="00192D75"/>
    <w:rsid w:val="001A4E8D"/>
    <w:rsid w:val="001E7832"/>
    <w:rsid w:val="001F5EBD"/>
    <w:rsid w:val="002028CB"/>
    <w:rsid w:val="00242506"/>
    <w:rsid w:val="00242742"/>
    <w:rsid w:val="00254257"/>
    <w:rsid w:val="00262DE9"/>
    <w:rsid w:val="00285D89"/>
    <w:rsid w:val="00291419"/>
    <w:rsid w:val="002A1C16"/>
    <w:rsid w:val="002B2B20"/>
    <w:rsid w:val="002C235A"/>
    <w:rsid w:val="002C6884"/>
    <w:rsid w:val="002C750A"/>
    <w:rsid w:val="002D0188"/>
    <w:rsid w:val="002D4E19"/>
    <w:rsid w:val="0030188F"/>
    <w:rsid w:val="0033496B"/>
    <w:rsid w:val="00336BBE"/>
    <w:rsid w:val="00336EB7"/>
    <w:rsid w:val="0036102A"/>
    <w:rsid w:val="00367BE2"/>
    <w:rsid w:val="003A3C76"/>
    <w:rsid w:val="003C3876"/>
    <w:rsid w:val="003C4E4A"/>
    <w:rsid w:val="003D0E6D"/>
    <w:rsid w:val="003D60B5"/>
    <w:rsid w:val="003F05E2"/>
    <w:rsid w:val="003F5A90"/>
    <w:rsid w:val="00405332"/>
    <w:rsid w:val="00433F07"/>
    <w:rsid w:val="00443743"/>
    <w:rsid w:val="004522F2"/>
    <w:rsid w:val="0047364A"/>
    <w:rsid w:val="0048279E"/>
    <w:rsid w:val="00485EFD"/>
    <w:rsid w:val="00490342"/>
    <w:rsid w:val="004917D5"/>
    <w:rsid w:val="00493C5A"/>
    <w:rsid w:val="004943A4"/>
    <w:rsid w:val="004A31D8"/>
    <w:rsid w:val="004C51C9"/>
    <w:rsid w:val="004D1655"/>
    <w:rsid w:val="004D398B"/>
    <w:rsid w:val="00531270"/>
    <w:rsid w:val="005504EE"/>
    <w:rsid w:val="0055300E"/>
    <w:rsid w:val="00595F69"/>
    <w:rsid w:val="005B699E"/>
    <w:rsid w:val="005B6F7B"/>
    <w:rsid w:val="005C7AD1"/>
    <w:rsid w:val="005D02DB"/>
    <w:rsid w:val="005F2801"/>
    <w:rsid w:val="00612635"/>
    <w:rsid w:val="0063298A"/>
    <w:rsid w:val="00632BE0"/>
    <w:rsid w:val="00650CDA"/>
    <w:rsid w:val="00661A94"/>
    <w:rsid w:val="0066268E"/>
    <w:rsid w:val="006903A5"/>
    <w:rsid w:val="006A5B63"/>
    <w:rsid w:val="006A7786"/>
    <w:rsid w:val="006B1666"/>
    <w:rsid w:val="006C1A77"/>
    <w:rsid w:val="006C3720"/>
    <w:rsid w:val="006D7E08"/>
    <w:rsid w:val="006E139F"/>
    <w:rsid w:val="006F1CAE"/>
    <w:rsid w:val="00703311"/>
    <w:rsid w:val="00706CE4"/>
    <w:rsid w:val="00710647"/>
    <w:rsid w:val="007120AF"/>
    <w:rsid w:val="007201D6"/>
    <w:rsid w:val="00734E40"/>
    <w:rsid w:val="00746B8A"/>
    <w:rsid w:val="007515D5"/>
    <w:rsid w:val="00763C8C"/>
    <w:rsid w:val="00765899"/>
    <w:rsid w:val="00792B76"/>
    <w:rsid w:val="00797ADF"/>
    <w:rsid w:val="007A04D2"/>
    <w:rsid w:val="007B1D7F"/>
    <w:rsid w:val="007B2E78"/>
    <w:rsid w:val="007B67C0"/>
    <w:rsid w:val="007E513C"/>
    <w:rsid w:val="007E7F9B"/>
    <w:rsid w:val="00800882"/>
    <w:rsid w:val="00807BC6"/>
    <w:rsid w:val="00830015"/>
    <w:rsid w:val="00836468"/>
    <w:rsid w:val="00847981"/>
    <w:rsid w:val="00872AE1"/>
    <w:rsid w:val="00876E9E"/>
    <w:rsid w:val="00896900"/>
    <w:rsid w:val="008B133B"/>
    <w:rsid w:val="008F7EF7"/>
    <w:rsid w:val="00915496"/>
    <w:rsid w:val="00920129"/>
    <w:rsid w:val="00932649"/>
    <w:rsid w:val="00966398"/>
    <w:rsid w:val="00976AFB"/>
    <w:rsid w:val="00994524"/>
    <w:rsid w:val="009A1C97"/>
    <w:rsid w:val="009A2077"/>
    <w:rsid w:val="009A313E"/>
    <w:rsid w:val="009A3477"/>
    <w:rsid w:val="009B2E40"/>
    <w:rsid w:val="009D5866"/>
    <w:rsid w:val="009F1531"/>
    <w:rsid w:val="00A35824"/>
    <w:rsid w:val="00A36880"/>
    <w:rsid w:val="00A46F2B"/>
    <w:rsid w:val="00A574AE"/>
    <w:rsid w:val="00A7031C"/>
    <w:rsid w:val="00A7693B"/>
    <w:rsid w:val="00A90A2C"/>
    <w:rsid w:val="00AC6A01"/>
    <w:rsid w:val="00AE7C7E"/>
    <w:rsid w:val="00AF5667"/>
    <w:rsid w:val="00B275BB"/>
    <w:rsid w:val="00B52199"/>
    <w:rsid w:val="00B662C0"/>
    <w:rsid w:val="00B679BF"/>
    <w:rsid w:val="00B7560E"/>
    <w:rsid w:val="00BB74B6"/>
    <w:rsid w:val="00BC3D0C"/>
    <w:rsid w:val="00BC7F1D"/>
    <w:rsid w:val="00C05C02"/>
    <w:rsid w:val="00C11441"/>
    <w:rsid w:val="00C40482"/>
    <w:rsid w:val="00C87EFC"/>
    <w:rsid w:val="00CC21E7"/>
    <w:rsid w:val="00CC5795"/>
    <w:rsid w:val="00D47369"/>
    <w:rsid w:val="00D56FC1"/>
    <w:rsid w:val="00D97103"/>
    <w:rsid w:val="00DE7699"/>
    <w:rsid w:val="00DF2B06"/>
    <w:rsid w:val="00DF30B6"/>
    <w:rsid w:val="00DF5831"/>
    <w:rsid w:val="00E036F7"/>
    <w:rsid w:val="00E119D6"/>
    <w:rsid w:val="00E517BF"/>
    <w:rsid w:val="00E71600"/>
    <w:rsid w:val="00E75803"/>
    <w:rsid w:val="00E83E4D"/>
    <w:rsid w:val="00E93A01"/>
    <w:rsid w:val="00EB198A"/>
    <w:rsid w:val="00EC34B8"/>
    <w:rsid w:val="00EC57ED"/>
    <w:rsid w:val="00ED61EF"/>
    <w:rsid w:val="00EE0883"/>
    <w:rsid w:val="00F02835"/>
    <w:rsid w:val="00F14A4B"/>
    <w:rsid w:val="00F5567C"/>
    <w:rsid w:val="00F55E06"/>
    <w:rsid w:val="00F62703"/>
    <w:rsid w:val="00F64874"/>
    <w:rsid w:val="00FD424B"/>
    <w:rsid w:val="00FD6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F05E2"/>
    <w:rPr>
      <w:color w:val="0000FF"/>
      <w:u w:val="single"/>
    </w:rPr>
  </w:style>
  <w:style w:type="paragraph" w:styleId="Header">
    <w:name w:val="header"/>
    <w:basedOn w:val="Normal"/>
    <w:link w:val="HeaderChar"/>
    <w:rsid w:val="003F5A90"/>
    <w:pPr>
      <w:tabs>
        <w:tab w:val="center" w:pos="4320"/>
        <w:tab w:val="right" w:pos="8640"/>
      </w:tabs>
    </w:pPr>
  </w:style>
  <w:style w:type="character" w:customStyle="1" w:styleId="HeaderChar">
    <w:name w:val="Header Char"/>
    <w:link w:val="Header"/>
    <w:rsid w:val="003F5A90"/>
    <w:rPr>
      <w:sz w:val="24"/>
      <w:szCs w:val="24"/>
    </w:rPr>
  </w:style>
  <w:style w:type="paragraph" w:styleId="Footer">
    <w:name w:val="footer"/>
    <w:basedOn w:val="Normal"/>
    <w:link w:val="FooterChar"/>
    <w:rsid w:val="003F5A90"/>
    <w:pPr>
      <w:tabs>
        <w:tab w:val="center" w:pos="4320"/>
        <w:tab w:val="right" w:pos="8640"/>
      </w:tabs>
    </w:pPr>
  </w:style>
  <w:style w:type="character" w:customStyle="1" w:styleId="FooterChar">
    <w:name w:val="Footer Char"/>
    <w:link w:val="Footer"/>
    <w:rsid w:val="003F5A90"/>
    <w:rPr>
      <w:sz w:val="24"/>
      <w:szCs w:val="24"/>
    </w:rPr>
  </w:style>
  <w:style w:type="paragraph" w:styleId="BalloonText">
    <w:name w:val="Balloon Text"/>
    <w:basedOn w:val="Normal"/>
    <w:link w:val="BalloonTextChar"/>
    <w:rsid w:val="00F62703"/>
    <w:rPr>
      <w:rFonts w:ascii="Tahoma" w:hAnsi="Tahoma" w:cs="Tahoma"/>
      <w:sz w:val="16"/>
      <w:szCs w:val="16"/>
    </w:rPr>
  </w:style>
  <w:style w:type="character" w:customStyle="1" w:styleId="BalloonTextChar">
    <w:name w:val="Balloon Text Char"/>
    <w:basedOn w:val="DefaultParagraphFont"/>
    <w:link w:val="BalloonText"/>
    <w:rsid w:val="00F6270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F05E2"/>
    <w:rPr>
      <w:color w:val="0000FF"/>
      <w:u w:val="single"/>
    </w:rPr>
  </w:style>
  <w:style w:type="paragraph" w:styleId="Header">
    <w:name w:val="header"/>
    <w:basedOn w:val="Normal"/>
    <w:link w:val="HeaderChar"/>
    <w:rsid w:val="003F5A90"/>
    <w:pPr>
      <w:tabs>
        <w:tab w:val="center" w:pos="4320"/>
        <w:tab w:val="right" w:pos="8640"/>
      </w:tabs>
    </w:pPr>
  </w:style>
  <w:style w:type="character" w:customStyle="1" w:styleId="HeaderChar">
    <w:name w:val="Header Char"/>
    <w:link w:val="Header"/>
    <w:rsid w:val="003F5A90"/>
    <w:rPr>
      <w:sz w:val="24"/>
      <w:szCs w:val="24"/>
    </w:rPr>
  </w:style>
  <w:style w:type="paragraph" w:styleId="Footer">
    <w:name w:val="footer"/>
    <w:basedOn w:val="Normal"/>
    <w:link w:val="FooterChar"/>
    <w:rsid w:val="003F5A90"/>
    <w:pPr>
      <w:tabs>
        <w:tab w:val="center" w:pos="4320"/>
        <w:tab w:val="right" w:pos="8640"/>
      </w:tabs>
    </w:pPr>
  </w:style>
  <w:style w:type="character" w:customStyle="1" w:styleId="FooterChar">
    <w:name w:val="Footer Char"/>
    <w:link w:val="Footer"/>
    <w:rsid w:val="003F5A90"/>
    <w:rPr>
      <w:sz w:val="24"/>
      <w:szCs w:val="24"/>
    </w:rPr>
  </w:style>
  <w:style w:type="paragraph" w:styleId="BalloonText">
    <w:name w:val="Balloon Text"/>
    <w:basedOn w:val="Normal"/>
    <w:link w:val="BalloonTextChar"/>
    <w:rsid w:val="00F62703"/>
    <w:rPr>
      <w:rFonts w:ascii="Tahoma" w:hAnsi="Tahoma" w:cs="Tahoma"/>
      <w:sz w:val="16"/>
      <w:szCs w:val="16"/>
    </w:rPr>
  </w:style>
  <w:style w:type="character" w:customStyle="1" w:styleId="BalloonTextChar">
    <w:name w:val="Balloon Text Char"/>
    <w:basedOn w:val="DefaultParagraphFont"/>
    <w:link w:val="BalloonText"/>
    <w:rsid w:val="00F62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22688">
      <w:bodyDiv w:val="1"/>
      <w:marLeft w:val="0"/>
      <w:marRight w:val="0"/>
      <w:marTop w:val="0"/>
      <w:marBottom w:val="0"/>
      <w:divBdr>
        <w:top w:val="none" w:sz="0" w:space="0" w:color="auto"/>
        <w:left w:val="none" w:sz="0" w:space="0" w:color="auto"/>
        <w:bottom w:val="none" w:sz="0" w:space="0" w:color="auto"/>
        <w:right w:val="none" w:sz="0" w:space="0" w:color="auto"/>
      </w:divBdr>
    </w:div>
    <w:div w:id="688676637">
      <w:bodyDiv w:val="1"/>
      <w:marLeft w:val="0"/>
      <w:marRight w:val="0"/>
      <w:marTop w:val="0"/>
      <w:marBottom w:val="0"/>
      <w:divBdr>
        <w:top w:val="none" w:sz="0" w:space="0" w:color="auto"/>
        <w:left w:val="none" w:sz="0" w:space="0" w:color="auto"/>
        <w:bottom w:val="none" w:sz="0" w:space="0" w:color="auto"/>
        <w:right w:val="none" w:sz="0" w:space="0" w:color="auto"/>
      </w:divBdr>
    </w:div>
    <w:div w:id="839587829">
      <w:bodyDiv w:val="1"/>
      <w:marLeft w:val="0"/>
      <w:marRight w:val="0"/>
      <w:marTop w:val="0"/>
      <w:marBottom w:val="0"/>
      <w:divBdr>
        <w:top w:val="none" w:sz="0" w:space="0" w:color="auto"/>
        <w:left w:val="none" w:sz="0" w:space="0" w:color="auto"/>
        <w:bottom w:val="none" w:sz="0" w:space="0" w:color="auto"/>
        <w:right w:val="none" w:sz="0" w:space="0" w:color="auto"/>
      </w:divBdr>
    </w:div>
    <w:div w:id="1003359524">
      <w:bodyDiv w:val="1"/>
      <w:marLeft w:val="0"/>
      <w:marRight w:val="0"/>
      <w:marTop w:val="0"/>
      <w:marBottom w:val="0"/>
      <w:divBdr>
        <w:top w:val="none" w:sz="0" w:space="0" w:color="auto"/>
        <w:left w:val="none" w:sz="0" w:space="0" w:color="auto"/>
        <w:bottom w:val="none" w:sz="0" w:space="0" w:color="auto"/>
        <w:right w:val="none" w:sz="0" w:space="0" w:color="auto"/>
      </w:divBdr>
    </w:div>
    <w:div w:id="1084454008">
      <w:bodyDiv w:val="1"/>
      <w:marLeft w:val="0"/>
      <w:marRight w:val="0"/>
      <w:marTop w:val="0"/>
      <w:marBottom w:val="0"/>
      <w:divBdr>
        <w:top w:val="none" w:sz="0" w:space="0" w:color="auto"/>
        <w:left w:val="none" w:sz="0" w:space="0" w:color="auto"/>
        <w:bottom w:val="none" w:sz="0" w:space="0" w:color="auto"/>
        <w:right w:val="none" w:sz="0" w:space="0" w:color="auto"/>
      </w:divBdr>
    </w:div>
    <w:div w:id="1300191335">
      <w:bodyDiv w:val="1"/>
      <w:marLeft w:val="0"/>
      <w:marRight w:val="0"/>
      <w:marTop w:val="0"/>
      <w:marBottom w:val="0"/>
      <w:divBdr>
        <w:top w:val="none" w:sz="0" w:space="0" w:color="auto"/>
        <w:left w:val="none" w:sz="0" w:space="0" w:color="auto"/>
        <w:bottom w:val="none" w:sz="0" w:space="0" w:color="auto"/>
        <w:right w:val="none" w:sz="0" w:space="0" w:color="auto"/>
      </w:divBdr>
    </w:div>
    <w:div w:id="1427000041">
      <w:bodyDiv w:val="1"/>
      <w:marLeft w:val="0"/>
      <w:marRight w:val="0"/>
      <w:marTop w:val="0"/>
      <w:marBottom w:val="0"/>
      <w:divBdr>
        <w:top w:val="none" w:sz="0" w:space="0" w:color="auto"/>
        <w:left w:val="none" w:sz="0" w:space="0" w:color="auto"/>
        <w:bottom w:val="none" w:sz="0" w:space="0" w:color="auto"/>
        <w:right w:val="none" w:sz="0" w:space="0" w:color="auto"/>
      </w:divBdr>
    </w:div>
    <w:div w:id="1617255316">
      <w:bodyDiv w:val="1"/>
      <w:marLeft w:val="0"/>
      <w:marRight w:val="0"/>
      <w:marTop w:val="0"/>
      <w:marBottom w:val="0"/>
      <w:divBdr>
        <w:top w:val="none" w:sz="0" w:space="0" w:color="auto"/>
        <w:left w:val="none" w:sz="0" w:space="0" w:color="auto"/>
        <w:bottom w:val="none" w:sz="0" w:space="0" w:color="auto"/>
        <w:right w:val="none" w:sz="0" w:space="0" w:color="auto"/>
      </w:divBdr>
    </w:div>
    <w:div w:id="1869371373">
      <w:bodyDiv w:val="1"/>
      <w:marLeft w:val="0"/>
      <w:marRight w:val="0"/>
      <w:marTop w:val="0"/>
      <w:marBottom w:val="0"/>
      <w:divBdr>
        <w:top w:val="none" w:sz="0" w:space="0" w:color="auto"/>
        <w:left w:val="none" w:sz="0" w:space="0" w:color="auto"/>
        <w:bottom w:val="none" w:sz="0" w:space="0" w:color="auto"/>
        <w:right w:val="none" w:sz="0" w:space="0" w:color="auto"/>
      </w:divBdr>
    </w:div>
    <w:div w:id="20390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brady.NTUF\Desktop\2015%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none" strike="noStrike" baseline="0">
                <a:latin typeface="Times New Roman" pitchFamily="18" charset="0"/>
                <a:cs typeface="Times New Roman" pitchFamily="18" charset="0"/>
              </a:rPr>
              <a:t>Comparing State of the Union (SotU) Speeches 1999-2015 (in billions)</a:t>
            </a:r>
            <a:endParaRPr lang="en-US">
              <a:latin typeface="Times New Roman" pitchFamily="18" charset="0"/>
              <a:cs typeface="Times New Roman" pitchFamily="18" charset="0"/>
            </a:endParaRPr>
          </a:p>
        </c:rich>
      </c:tx>
      <c:layout/>
    </c:title>
    <c:view3D>
      <c:depthPercent val="100"/>
      <c:rAngAx val="1"/>
    </c:view3D>
    <c:plotArea>
      <c:layout/>
      <c:bar3DChart>
        <c:barDir val="col"/>
        <c:grouping val="stacked"/>
        <c:ser>
          <c:idx val="0"/>
          <c:order val="0"/>
          <c:tx>
            <c:strRef>
              <c:f>Sheet1!$B$1:$B$2</c:f>
              <c:strCache>
                <c:ptCount val="1"/>
                <c:pt idx="0">
                  <c:v>Non-Defense Discretionary Spending</c:v>
                </c:pt>
              </c:strCache>
            </c:strRef>
          </c:tx>
          <c:cat>
            <c:strRef>
              <c:f>Sheet1!$A$3:$A$17</c:f>
              <c:strCache>
                <c:ptCount val="15"/>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pt idx="13">
                  <c:v>Obama's 2014</c:v>
                </c:pt>
                <c:pt idx="14">
                  <c:v>Obama's 2015</c:v>
                </c:pt>
              </c:strCache>
            </c:strRef>
          </c:cat>
          <c:val>
            <c:numRef>
              <c:f>Sheet1!$B$3:$B$17</c:f>
              <c:numCache>
                <c:formatCode>"$"#,##0_);[Red]\("$"#,##0\)</c:formatCode>
                <c:ptCount val="15"/>
                <c:pt idx="0">
                  <c:v>305</c:v>
                </c:pt>
                <c:pt idx="1">
                  <c:v>119</c:v>
                </c:pt>
                <c:pt idx="2">
                  <c:v>55</c:v>
                </c:pt>
                <c:pt idx="3">
                  <c:v>46</c:v>
                </c:pt>
                <c:pt idx="4" formatCode="&quot;$&quot;#,##0.00_);[Red]\(&quot;$&quot;#,##0.00\)">
                  <c:v>13.6</c:v>
                </c:pt>
                <c:pt idx="5" formatCode="&quot;$&quot;#,##0.00_);[Red]\(&quot;$&quot;#,##0.00\)">
                  <c:v>12.8</c:v>
                </c:pt>
                <c:pt idx="6" formatCode="&quot;$&quot;#,##0.00_);[Red]\(&quot;$&quot;#,##0.00\)">
                  <c:v>9.1000000000000025E-2</c:v>
                </c:pt>
                <c:pt idx="7" formatCode="&quot;$&quot;#,##0.00_);[Red]\(&quot;$&quot;#,##0.00\)">
                  <c:v>3.48</c:v>
                </c:pt>
                <c:pt idx="8" formatCode="&quot;$&quot;#,##0.0_);[Red]\(&quot;$&quot;#,##0.0\)">
                  <c:v>24.75</c:v>
                </c:pt>
                <c:pt idx="9" formatCode="&quot;$&quot;#,##0.0_);[Red]\(&quot;$&quot;#,##0.0\)">
                  <c:v>10.17</c:v>
                </c:pt>
                <c:pt idx="10" formatCode="&quot;$&quot;#,##0.00_);[Red]\(&quot;$&quot;#,##0.00\)">
                  <c:v>39.01</c:v>
                </c:pt>
                <c:pt idx="11" formatCode="&quot;$&quot;#,##0.00_);[Red]\(&quot;$&quot;#,##0.00\)">
                  <c:v>20.788999999999991</c:v>
                </c:pt>
                <c:pt idx="12" formatCode="&quot;$&quot;#,##0.00_);[Red]\(&quot;$&quot;#,##0.00\)">
                  <c:v>27.134000000000007</c:v>
                </c:pt>
                <c:pt idx="13" formatCode="&quot;$&quot;#,##0.00_);[Red]\(&quot;$&quot;#,##0.00\)">
                  <c:v>7.8039999999999985</c:v>
                </c:pt>
                <c:pt idx="14" formatCode="&quot;$&quot;#,##0.000_);[Red]\(&quot;$&quot;#,##0.000\)">
                  <c:v>30.061</c:v>
                </c:pt>
              </c:numCache>
            </c:numRef>
          </c:val>
        </c:ser>
        <c:ser>
          <c:idx val="1"/>
          <c:order val="1"/>
          <c:tx>
            <c:strRef>
              <c:f>Sheet1!$C$1:$C$2</c:f>
              <c:strCache>
                <c:ptCount val="1"/>
                <c:pt idx="0">
                  <c:v>Defense/Homeland Security Spending</c:v>
                </c:pt>
              </c:strCache>
            </c:strRef>
          </c:tx>
          <c:cat>
            <c:strRef>
              <c:f>Sheet1!$A$3:$A$17</c:f>
              <c:strCache>
                <c:ptCount val="15"/>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pt idx="13">
                  <c:v>Obama's 2014</c:v>
                </c:pt>
                <c:pt idx="14">
                  <c:v>Obama's 2015</c:v>
                </c:pt>
              </c:strCache>
            </c:strRef>
          </c:cat>
          <c:val>
            <c:numRef>
              <c:f>Sheet1!$C$3:$C$17</c:f>
              <c:numCache>
                <c:formatCode>"$"#,##0_);[Red]\("$"#,##0\)</c:formatCode>
                <c:ptCount val="15"/>
                <c:pt idx="0">
                  <c:v>22</c:v>
                </c:pt>
                <c:pt idx="1">
                  <c:v>21</c:v>
                </c:pt>
                <c:pt idx="2">
                  <c:v>51</c:v>
                </c:pt>
                <c:pt idx="3">
                  <c:v>6</c:v>
                </c:pt>
                <c:pt idx="4" formatCode="General">
                  <c:v>0</c:v>
                </c:pt>
                <c:pt idx="5" formatCode="General">
                  <c:v>0</c:v>
                </c:pt>
                <c:pt idx="6" formatCode="General">
                  <c:v>0</c:v>
                </c:pt>
                <c:pt idx="7" formatCode="&quot;$&quot;#,##0.00_);[Red]\(&quot;$&quot;#,##0.00\)">
                  <c:v>8.9</c:v>
                </c:pt>
                <c:pt idx="8" formatCode="&quot;$&quot;#,##0.0_);[Red]\(&quot;$&quot;#,##0.0\)">
                  <c:v>109.89</c:v>
                </c:pt>
                <c:pt idx="9" formatCode="&quot;$&quot;#,##0.0_);[Red]\(&quot;$&quot;#,##0.0\)">
                  <c:v>11.326000000000002</c:v>
                </c:pt>
                <c:pt idx="10" formatCode="&quot;$&quot;#,##0.00_);[Red]\(&quot;$&quot;#,##0.00\)">
                  <c:v>-15.6</c:v>
                </c:pt>
                <c:pt idx="11" formatCode="&quot;$&quot;#,##0.00_);[Red]\(&quot;$&quot;#,##0.00\)">
                  <c:v>-48.7</c:v>
                </c:pt>
                <c:pt idx="12" formatCode="General">
                  <c:v>0</c:v>
                </c:pt>
                <c:pt idx="13" formatCode="General">
                  <c:v>0</c:v>
                </c:pt>
              </c:numCache>
            </c:numRef>
          </c:val>
        </c:ser>
        <c:ser>
          <c:idx val="2"/>
          <c:order val="2"/>
          <c:tx>
            <c:strRef>
              <c:f>Sheet1!$D$1:$D$2</c:f>
              <c:strCache>
                <c:ptCount val="1"/>
                <c:pt idx="0">
                  <c:v>Mandatory Spending</c:v>
                </c:pt>
              </c:strCache>
            </c:strRef>
          </c:tx>
          <c:cat>
            <c:strRef>
              <c:f>Sheet1!$A$3:$A$17</c:f>
              <c:strCache>
                <c:ptCount val="15"/>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pt idx="13">
                  <c:v>Obama's 2014</c:v>
                </c:pt>
                <c:pt idx="14">
                  <c:v>Obama's 2015</c:v>
                </c:pt>
              </c:strCache>
            </c:strRef>
          </c:cat>
          <c:val>
            <c:numRef>
              <c:f>Sheet1!$D$3:$D$17</c:f>
              <c:numCache>
                <c:formatCode>General</c:formatCode>
                <c:ptCount val="15"/>
                <c:pt idx="9" formatCode="&quot;$&quot;#,##0.0_);[Red]\(&quot;$&quot;#,##0.0\)">
                  <c:v>48.96</c:v>
                </c:pt>
                <c:pt idx="10" formatCode="&quot;$&quot;#,##0.0_);[Red]\(&quot;$&quot;#,##0.0\)">
                  <c:v>-2.06</c:v>
                </c:pt>
                <c:pt idx="11" formatCode="&quot;$&quot;#,##0.0_);[Red]\(&quot;$&quot;#,##0.0\)">
                  <c:v>-8.0000000000000029E-2</c:v>
                </c:pt>
                <c:pt idx="12" formatCode="&quot;$&quot;#,##0.00_);[Red]\(&quot;$&quot;#,##0.00\)">
                  <c:v>56.273000000000003</c:v>
                </c:pt>
                <c:pt idx="13" formatCode="&quot;$&quot;#,##0.00_);[Red]\(&quot;$&quot;#,##0.00\)">
                  <c:v>32.191000000000003</c:v>
                </c:pt>
                <c:pt idx="14">
                  <c:v>10.906000000000002</c:v>
                </c:pt>
              </c:numCache>
            </c:numRef>
          </c:val>
        </c:ser>
        <c:ser>
          <c:idx val="3"/>
          <c:order val="3"/>
          <c:tx>
            <c:strRef>
              <c:f>Sheet1!$E$1:$E$2</c:f>
              <c:strCache>
                <c:ptCount val="1"/>
                <c:pt idx="0">
                  <c:v>Sequester Contingency</c:v>
                </c:pt>
              </c:strCache>
            </c:strRef>
          </c:tx>
          <c:spPr>
            <a:solidFill>
              <a:srgbClr val="FFC000"/>
            </a:solidFill>
          </c:spPr>
          <c:cat>
            <c:strRef>
              <c:f>Sheet1!$A$3:$A$17</c:f>
              <c:strCache>
                <c:ptCount val="15"/>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pt idx="13">
                  <c:v>Obama's 2014</c:v>
                </c:pt>
                <c:pt idx="14">
                  <c:v>Obama's 2015</c:v>
                </c:pt>
              </c:strCache>
            </c:strRef>
          </c:cat>
          <c:val>
            <c:numRef>
              <c:f>Sheet1!$E$3:$E$17</c:f>
              <c:numCache>
                <c:formatCode>General</c:formatCode>
                <c:ptCount val="15"/>
                <c:pt idx="12" formatCode="&quot;$&quot;#,##0_);[Red]\(&quot;$&quot;#,##0\)">
                  <c:v>17</c:v>
                </c:pt>
              </c:numCache>
            </c:numRef>
          </c:val>
        </c:ser>
        <c:shape val="box"/>
        <c:axId val="37384960"/>
        <c:axId val="37386496"/>
        <c:axId val="0"/>
      </c:bar3DChart>
      <c:catAx>
        <c:axId val="37384960"/>
        <c:scaling>
          <c:orientation val="minMax"/>
        </c:scaling>
        <c:axPos val="b"/>
        <c:numFmt formatCode="General" sourceLinked="1"/>
        <c:tickLblPos val="low"/>
        <c:txPr>
          <a:bodyPr/>
          <a:lstStyle/>
          <a:p>
            <a:pPr>
              <a:defRPr sz="800">
                <a:latin typeface="Times New Roman" pitchFamily="18" charset="0"/>
                <a:cs typeface="Times New Roman" pitchFamily="18" charset="0"/>
              </a:defRPr>
            </a:pPr>
            <a:endParaRPr lang="en-US"/>
          </a:p>
        </c:txPr>
        <c:crossAx val="37386496"/>
        <c:crosses val="autoZero"/>
        <c:auto val="1"/>
        <c:lblAlgn val="ctr"/>
        <c:lblOffset val="100"/>
      </c:catAx>
      <c:valAx>
        <c:axId val="37386496"/>
        <c:scaling>
          <c:orientation val="minMax"/>
        </c:scaling>
        <c:axPos val="l"/>
        <c:majorGridlines/>
        <c:numFmt formatCode="&quot;$&quot;#,##0_);[Red]\(&quot;$&quot;#,##0\)" sourceLinked="1"/>
        <c:tickLblPos val="nextTo"/>
        <c:txPr>
          <a:bodyPr/>
          <a:lstStyle/>
          <a:p>
            <a:pPr>
              <a:defRPr>
                <a:latin typeface="Times New Roman" pitchFamily="18" charset="0"/>
                <a:cs typeface="Times New Roman" pitchFamily="18" charset="0"/>
              </a:defRPr>
            </a:pPr>
            <a:endParaRPr lang="en-US"/>
          </a:p>
        </c:txPr>
        <c:crossAx val="37384960"/>
        <c:crosses val="autoZero"/>
        <c:crossBetween val="between"/>
      </c:valAx>
      <c:spPr>
        <a:noFill/>
        <a:ln w="25400">
          <a:noFill/>
        </a:ln>
      </c:spPr>
    </c:plotArea>
    <c:legend>
      <c:legendPos val="b"/>
      <c:layout/>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4A1BA-9866-4C84-9B1E-E0FA8404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12487</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Item</vt:lpstr>
    </vt:vector>
  </TitlesOfParts>
  <Company>NTU</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creator>demian</dc:creator>
  <cp:lastModifiedBy>Dbarrett</cp:lastModifiedBy>
  <cp:revision>2</cp:revision>
  <cp:lastPrinted>2015-01-23T19:41:00Z</cp:lastPrinted>
  <dcterms:created xsi:type="dcterms:W3CDTF">2015-02-25T19:50:00Z</dcterms:created>
  <dcterms:modified xsi:type="dcterms:W3CDTF">2015-02-25T19:50:00Z</dcterms:modified>
</cp:coreProperties>
</file>