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BE2" w:rsidRDefault="00367BE2" w:rsidP="003F5A90">
      <w:pPr>
        <w:spacing w:before="120"/>
        <w:jc w:val="center"/>
        <w:rPr>
          <w:b/>
        </w:rPr>
      </w:pPr>
    </w:p>
    <w:p w:rsidR="002A1C16" w:rsidRPr="003F5A90" w:rsidRDefault="002A1C16" w:rsidP="003F5A90">
      <w:pPr>
        <w:spacing w:before="120"/>
        <w:jc w:val="center"/>
        <w:rPr>
          <w:b/>
        </w:rPr>
      </w:pPr>
      <w:r w:rsidRPr="002A1C16">
        <w:rPr>
          <w:b/>
        </w:rPr>
        <w:t>National Taxpayers Union Foundation</w:t>
      </w:r>
      <w:r w:rsidR="00765899">
        <w:rPr>
          <w:b/>
        </w:rPr>
        <w:t>’</w:t>
      </w:r>
      <w:r w:rsidRPr="002A1C16">
        <w:rPr>
          <w:b/>
        </w:rPr>
        <w:t>s Cost Analysis of the President</w:t>
      </w:r>
      <w:r w:rsidR="00765899">
        <w:rPr>
          <w:b/>
        </w:rPr>
        <w:t>’</w:t>
      </w:r>
      <w:r w:rsidRPr="002A1C16">
        <w:rPr>
          <w:b/>
        </w:rPr>
        <w:t>s 201</w:t>
      </w:r>
      <w:r w:rsidR="00485EFD">
        <w:rPr>
          <w:b/>
        </w:rPr>
        <w:t>4</w:t>
      </w:r>
      <w:r w:rsidRPr="002A1C16">
        <w:rPr>
          <w:b/>
        </w:rPr>
        <w:t xml:space="preserve"> State of the Union Address</w:t>
      </w:r>
    </w:p>
    <w:p w:rsidR="002A1C16" w:rsidRDefault="002A1C16"/>
    <w:p w:rsidR="00262DE9" w:rsidRDefault="00262DE9"/>
    <w:tbl>
      <w:tblPr>
        <w:tblW w:w="11076" w:type="dxa"/>
        <w:tblInd w:w="-79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tblPr>
      <w:tblGrid>
        <w:gridCol w:w="720"/>
        <w:gridCol w:w="4050"/>
        <w:gridCol w:w="2160"/>
        <w:gridCol w:w="4146"/>
      </w:tblGrid>
      <w:tr w:rsidR="004943A4" w:rsidRPr="004943A4" w:rsidTr="00AE7C7E">
        <w:tc>
          <w:tcPr>
            <w:tcW w:w="720" w:type="dxa"/>
            <w:tcBorders>
              <w:top w:val="double" w:sz="4" w:space="0" w:color="auto"/>
              <w:bottom w:val="double" w:sz="4" w:space="0" w:color="auto"/>
            </w:tcBorders>
          </w:tcPr>
          <w:p w:rsidR="004943A4" w:rsidRPr="002D4E19" w:rsidRDefault="004943A4" w:rsidP="002D4E19">
            <w:pPr>
              <w:jc w:val="center"/>
              <w:rPr>
                <w:b/>
              </w:rPr>
            </w:pPr>
            <w:r w:rsidRPr="002D4E19">
              <w:rPr>
                <w:b/>
              </w:rPr>
              <w:t>Item</w:t>
            </w:r>
          </w:p>
        </w:tc>
        <w:tc>
          <w:tcPr>
            <w:tcW w:w="4050" w:type="dxa"/>
            <w:tcBorders>
              <w:top w:val="double" w:sz="4" w:space="0" w:color="auto"/>
              <w:bottom w:val="double" w:sz="4" w:space="0" w:color="auto"/>
            </w:tcBorders>
          </w:tcPr>
          <w:p w:rsidR="004943A4" w:rsidRPr="002D4E19" w:rsidRDefault="000C71FB" w:rsidP="003D0E6D">
            <w:pPr>
              <w:jc w:val="center"/>
              <w:rPr>
                <w:b/>
              </w:rPr>
            </w:pPr>
            <w:r w:rsidRPr="002D4E19">
              <w:rPr>
                <w:b/>
                <w:snapToGrid w:val="0"/>
                <w:color w:val="000000"/>
              </w:rPr>
              <w:t>Issue (quoted from text)</w:t>
            </w:r>
          </w:p>
        </w:tc>
        <w:tc>
          <w:tcPr>
            <w:tcW w:w="2160" w:type="dxa"/>
            <w:tcBorders>
              <w:top w:val="double" w:sz="4" w:space="0" w:color="auto"/>
              <w:bottom w:val="double" w:sz="4" w:space="0" w:color="auto"/>
            </w:tcBorders>
          </w:tcPr>
          <w:p w:rsidR="004943A4" w:rsidRPr="002D4E19" w:rsidRDefault="000C71FB" w:rsidP="002D4E19">
            <w:pPr>
              <w:jc w:val="center"/>
              <w:rPr>
                <w:b/>
              </w:rPr>
            </w:pPr>
            <w:r w:rsidRPr="002D4E19">
              <w:rPr>
                <w:b/>
                <w:snapToGrid w:val="0"/>
                <w:color w:val="000000"/>
              </w:rPr>
              <w:t xml:space="preserve">Annual </w:t>
            </w:r>
            <w:r w:rsidR="00800882">
              <w:rPr>
                <w:b/>
                <w:snapToGrid w:val="0"/>
                <w:color w:val="000000"/>
              </w:rPr>
              <w:t xml:space="preserve">Net </w:t>
            </w:r>
            <w:r w:rsidRPr="002D4E19">
              <w:rPr>
                <w:b/>
                <w:snapToGrid w:val="0"/>
                <w:color w:val="000000"/>
              </w:rPr>
              <w:t>Spending Increase/Decrease (in billions)</w:t>
            </w:r>
          </w:p>
        </w:tc>
        <w:tc>
          <w:tcPr>
            <w:tcW w:w="4146" w:type="dxa"/>
            <w:tcBorders>
              <w:top w:val="double" w:sz="4" w:space="0" w:color="auto"/>
              <w:bottom w:val="double" w:sz="4" w:space="0" w:color="auto"/>
            </w:tcBorders>
          </w:tcPr>
          <w:p w:rsidR="004943A4" w:rsidRPr="002D4E19" w:rsidRDefault="004943A4" w:rsidP="003D0E6D">
            <w:pPr>
              <w:jc w:val="center"/>
              <w:rPr>
                <w:b/>
              </w:rPr>
            </w:pPr>
            <w:r w:rsidRPr="002D4E19">
              <w:rPr>
                <w:b/>
              </w:rPr>
              <w:t>Source/Note</w:t>
            </w:r>
            <w:r w:rsidR="00E752F3">
              <w:rPr>
                <w:b/>
              </w:rPr>
              <w:t>s</w:t>
            </w:r>
          </w:p>
        </w:tc>
      </w:tr>
      <w:tr w:rsidR="00A35824" w:rsidRPr="004943A4" w:rsidTr="00AE7C7E">
        <w:tc>
          <w:tcPr>
            <w:tcW w:w="720" w:type="dxa"/>
            <w:vAlign w:val="bottom"/>
          </w:tcPr>
          <w:p w:rsidR="00A35824" w:rsidRDefault="00A35824">
            <w:pPr>
              <w:rPr>
                <w:color w:val="000000"/>
                <w:sz w:val="20"/>
                <w:szCs w:val="20"/>
              </w:rPr>
            </w:pPr>
          </w:p>
        </w:tc>
        <w:tc>
          <w:tcPr>
            <w:tcW w:w="4050" w:type="dxa"/>
            <w:vAlign w:val="center"/>
          </w:tcPr>
          <w:p w:rsidR="00A35824" w:rsidRPr="00A35824" w:rsidRDefault="00A35824" w:rsidP="00485EFD">
            <w:pPr>
              <w:rPr>
                <w:b/>
                <w:bCs/>
                <w:color w:val="000000"/>
              </w:rPr>
            </w:pPr>
            <w:r w:rsidRPr="00A35824">
              <w:rPr>
                <w:b/>
                <w:bCs/>
                <w:color w:val="000000"/>
              </w:rPr>
              <w:t>Total:</w:t>
            </w:r>
          </w:p>
        </w:tc>
        <w:tc>
          <w:tcPr>
            <w:tcW w:w="2160" w:type="dxa"/>
            <w:vAlign w:val="bottom"/>
          </w:tcPr>
          <w:p w:rsidR="00A35824" w:rsidRPr="00A35824" w:rsidRDefault="00AE7C7E" w:rsidP="00E71600">
            <w:pPr>
              <w:jc w:val="center"/>
              <w:rPr>
                <w:b/>
                <w:bCs/>
                <w:color w:val="000000"/>
              </w:rPr>
            </w:pPr>
            <w:r w:rsidRPr="00AE7C7E">
              <w:rPr>
                <w:b/>
                <w:bCs/>
                <w:color w:val="000000"/>
              </w:rPr>
              <w:t>$39.995</w:t>
            </w:r>
          </w:p>
        </w:tc>
        <w:tc>
          <w:tcPr>
            <w:tcW w:w="4146" w:type="dxa"/>
            <w:vAlign w:val="center"/>
          </w:tcPr>
          <w:p w:rsidR="00A35824" w:rsidRDefault="00A35824" w:rsidP="003D0E6D">
            <w:pPr>
              <w:rPr>
                <w:color w:val="000000"/>
                <w:sz w:val="20"/>
                <w:szCs w:val="20"/>
              </w:rPr>
            </w:pPr>
          </w:p>
        </w:tc>
      </w:tr>
      <w:tr w:rsidR="00765899" w:rsidRPr="004943A4" w:rsidTr="00AE7C7E">
        <w:tc>
          <w:tcPr>
            <w:tcW w:w="720" w:type="dxa"/>
            <w:vAlign w:val="bottom"/>
          </w:tcPr>
          <w:p w:rsidR="00765899" w:rsidRDefault="00765899">
            <w:pPr>
              <w:jc w:val="right"/>
              <w:rPr>
                <w:color w:val="000000"/>
                <w:sz w:val="18"/>
                <w:szCs w:val="18"/>
              </w:rPr>
            </w:pPr>
            <w:r>
              <w:rPr>
                <w:color w:val="000000"/>
                <w:sz w:val="18"/>
                <w:szCs w:val="18"/>
              </w:rPr>
              <w:t>1</w:t>
            </w:r>
          </w:p>
        </w:tc>
        <w:tc>
          <w:tcPr>
            <w:tcW w:w="4050" w:type="dxa"/>
            <w:vAlign w:val="center"/>
          </w:tcPr>
          <w:p w:rsidR="00765899" w:rsidRDefault="00765899" w:rsidP="00AE7C7E">
            <w:pPr>
              <w:rPr>
                <w:color w:val="000000"/>
                <w:sz w:val="18"/>
                <w:szCs w:val="18"/>
              </w:rPr>
            </w:pPr>
            <w:r>
              <w:rPr>
                <w:color w:val="000000"/>
                <w:sz w:val="18"/>
                <w:szCs w:val="18"/>
              </w:rPr>
              <w:t xml:space="preserve">“ ... [W]e can take the money we save with this transition to tax reform to create jobs rebuilding our roads, upgrading our ports, </w:t>
            </w:r>
            <w:r w:rsidR="002C750A">
              <w:rPr>
                <w:color w:val="000000"/>
                <w:sz w:val="18"/>
                <w:szCs w:val="18"/>
              </w:rPr>
              <w:t xml:space="preserve">[and] </w:t>
            </w:r>
            <w:r>
              <w:rPr>
                <w:color w:val="000000"/>
                <w:sz w:val="18"/>
                <w:szCs w:val="18"/>
              </w:rPr>
              <w:t>unclogging our commutes ... .”</w:t>
            </w:r>
          </w:p>
        </w:tc>
        <w:tc>
          <w:tcPr>
            <w:tcW w:w="2160" w:type="dxa"/>
            <w:vAlign w:val="bottom"/>
          </w:tcPr>
          <w:p w:rsidR="00765899" w:rsidRDefault="00765899" w:rsidP="00765899">
            <w:pPr>
              <w:jc w:val="center"/>
              <w:rPr>
                <w:color w:val="000000"/>
                <w:sz w:val="18"/>
                <w:szCs w:val="18"/>
              </w:rPr>
            </w:pPr>
            <w:r>
              <w:rPr>
                <w:color w:val="000000"/>
                <w:sz w:val="18"/>
                <w:szCs w:val="18"/>
              </w:rPr>
              <w:t>Unknown.</w:t>
            </w:r>
          </w:p>
        </w:tc>
        <w:tc>
          <w:tcPr>
            <w:tcW w:w="4146" w:type="dxa"/>
            <w:vAlign w:val="center"/>
          </w:tcPr>
          <w:p w:rsidR="00765899" w:rsidRPr="002C750A" w:rsidRDefault="00765899" w:rsidP="004917D5">
            <w:pPr>
              <w:rPr>
                <w:color w:val="000000"/>
                <w:sz w:val="18"/>
                <w:szCs w:val="18"/>
              </w:rPr>
            </w:pPr>
            <w:r>
              <w:rPr>
                <w:color w:val="000000"/>
                <w:sz w:val="18"/>
                <w:szCs w:val="18"/>
              </w:rPr>
              <w:t>“Savings” related to reforming the Tax Code by “clos[ing] loopholes” would represent an increase in tax revenues to the federal government.</w:t>
            </w:r>
            <w:r w:rsidR="002C750A">
              <w:rPr>
                <w:color w:val="000000"/>
                <w:sz w:val="18"/>
                <w:szCs w:val="18"/>
              </w:rPr>
              <w:t xml:space="preserve"> In the </w:t>
            </w:r>
            <w:r w:rsidR="002C750A" w:rsidRPr="00AE7C7E">
              <w:rPr>
                <w:i/>
                <w:color w:val="000000"/>
                <w:sz w:val="18"/>
                <w:szCs w:val="18"/>
              </w:rPr>
              <w:t>Fiscal Year 2014 Budget of the U.S. Government</w:t>
            </w:r>
            <w:r w:rsidR="002C750A">
              <w:rPr>
                <w:color w:val="000000"/>
                <w:sz w:val="18"/>
                <w:szCs w:val="18"/>
              </w:rPr>
              <w:t xml:space="preserve">, the Administration proposed $26.635 billion in new transportation-related funding. It is unclear whether </w:t>
            </w:r>
            <w:r w:rsidR="004917D5">
              <w:rPr>
                <w:color w:val="000000"/>
                <w:sz w:val="18"/>
                <w:szCs w:val="18"/>
              </w:rPr>
              <w:t>th</w:t>
            </w:r>
            <w:r w:rsidR="002C750A">
              <w:rPr>
                <w:color w:val="000000"/>
                <w:sz w:val="18"/>
                <w:szCs w:val="18"/>
              </w:rPr>
              <w:t xml:space="preserve">e </w:t>
            </w:r>
            <w:r w:rsidR="004917D5">
              <w:rPr>
                <w:color w:val="000000"/>
                <w:sz w:val="18"/>
                <w:szCs w:val="18"/>
              </w:rPr>
              <w:t xml:space="preserve">President </w:t>
            </w:r>
            <w:r w:rsidR="002C750A">
              <w:rPr>
                <w:color w:val="000000"/>
                <w:sz w:val="18"/>
                <w:szCs w:val="18"/>
              </w:rPr>
              <w:t>is advocating that level of spending by this proposal.</w:t>
            </w:r>
            <w:r w:rsidR="009A1C97">
              <w:rPr>
                <w:color w:val="000000"/>
                <w:sz w:val="18"/>
                <w:szCs w:val="18"/>
              </w:rPr>
              <w:t xml:space="preserve"> http://www.whitehouse.gov/sites/default/files/omb/budget/fy2014/assets/tables.pdf</w:t>
            </w:r>
          </w:p>
        </w:tc>
      </w:tr>
      <w:tr w:rsidR="00765899" w:rsidRPr="004943A4" w:rsidTr="00AE7C7E">
        <w:tc>
          <w:tcPr>
            <w:tcW w:w="720" w:type="dxa"/>
            <w:vAlign w:val="bottom"/>
          </w:tcPr>
          <w:p w:rsidR="00765899" w:rsidRDefault="00765899">
            <w:pPr>
              <w:jc w:val="right"/>
              <w:rPr>
                <w:color w:val="000000"/>
                <w:sz w:val="18"/>
                <w:szCs w:val="18"/>
              </w:rPr>
            </w:pPr>
            <w:r>
              <w:rPr>
                <w:color w:val="000000"/>
                <w:sz w:val="18"/>
                <w:szCs w:val="18"/>
              </w:rPr>
              <w:t>2</w:t>
            </w:r>
          </w:p>
        </w:tc>
        <w:tc>
          <w:tcPr>
            <w:tcW w:w="4050" w:type="dxa"/>
            <w:vAlign w:val="center"/>
          </w:tcPr>
          <w:p w:rsidR="00765899" w:rsidRDefault="00765899" w:rsidP="00AE7C7E">
            <w:pPr>
              <w:rPr>
                <w:color w:val="000000"/>
                <w:sz w:val="18"/>
                <w:szCs w:val="18"/>
              </w:rPr>
            </w:pPr>
            <w:r>
              <w:rPr>
                <w:color w:val="000000"/>
                <w:sz w:val="18"/>
                <w:szCs w:val="18"/>
              </w:rPr>
              <w:t>“We’ll need Congress to protect more than three million jobs by finishing transportation and waterways bills this summer.”</w:t>
            </w:r>
          </w:p>
        </w:tc>
        <w:tc>
          <w:tcPr>
            <w:tcW w:w="2160" w:type="dxa"/>
            <w:vAlign w:val="bottom"/>
          </w:tcPr>
          <w:p w:rsidR="00765899" w:rsidRDefault="00765899">
            <w:pPr>
              <w:jc w:val="center"/>
              <w:rPr>
                <w:color w:val="000000"/>
                <w:sz w:val="18"/>
                <w:szCs w:val="18"/>
              </w:rPr>
            </w:pPr>
            <w:r>
              <w:rPr>
                <w:color w:val="000000"/>
                <w:sz w:val="18"/>
                <w:szCs w:val="18"/>
              </w:rPr>
              <w:t>$0.692</w:t>
            </w:r>
          </w:p>
        </w:tc>
        <w:tc>
          <w:tcPr>
            <w:tcW w:w="4146" w:type="dxa"/>
            <w:vAlign w:val="center"/>
          </w:tcPr>
          <w:p w:rsidR="00AE7C7E" w:rsidRDefault="00765899" w:rsidP="00AE7C7E">
            <w:pPr>
              <w:rPr>
                <w:color w:val="000000"/>
                <w:sz w:val="18"/>
                <w:szCs w:val="18"/>
              </w:rPr>
            </w:pPr>
            <w:r>
              <w:rPr>
                <w:color w:val="000000"/>
                <w:sz w:val="18"/>
                <w:szCs w:val="18"/>
              </w:rPr>
              <w:t>The White House has voiced support for H.R. 3080, the House version of the Water Resources Development Act of 2013. The Congressional Budget Office (CBO) estimated the bill would cost $3.459 billion over five years. The Senate version, S. 601, was scored as a $5.905 billion cost over the same time period, but Administration officials have expressed concern over that bill’s funding of projects that provide only “marginal” returns on that investment.   http://www.whitehouse.gov/sites/default/files/omb/legislative/sap/113/saps3080h_20131023.pdf http://www.whitehouse.gov/sites/default/files/omb/legislative/sap</w:t>
            </w:r>
            <w:r w:rsidR="00AE7C7E">
              <w:rPr>
                <w:color w:val="000000"/>
                <w:sz w:val="18"/>
                <w:szCs w:val="18"/>
              </w:rPr>
              <w:t xml:space="preserve">/113/saps601s_20130506.pdf </w:t>
            </w:r>
          </w:p>
          <w:p w:rsidR="00765899" w:rsidRDefault="00765899" w:rsidP="00AE7C7E">
            <w:pPr>
              <w:rPr>
                <w:color w:val="000000"/>
                <w:sz w:val="18"/>
                <w:szCs w:val="18"/>
              </w:rPr>
            </w:pPr>
            <w:r>
              <w:rPr>
                <w:color w:val="000000"/>
                <w:sz w:val="18"/>
                <w:szCs w:val="18"/>
              </w:rPr>
              <w:t xml:space="preserve">                                                                                       It is unclear whether the President is also referring to additional transportation legislation already introduced. Current spending on federal highway and public transportation programs is authorized through September 30, 2014.</w:t>
            </w:r>
          </w:p>
        </w:tc>
      </w:tr>
      <w:tr w:rsidR="00765899" w:rsidRPr="004943A4" w:rsidTr="00AE7C7E">
        <w:tc>
          <w:tcPr>
            <w:tcW w:w="720" w:type="dxa"/>
            <w:vAlign w:val="bottom"/>
          </w:tcPr>
          <w:p w:rsidR="00765899" w:rsidRDefault="00765899">
            <w:pPr>
              <w:jc w:val="right"/>
              <w:rPr>
                <w:color w:val="000000"/>
                <w:sz w:val="18"/>
                <w:szCs w:val="18"/>
              </w:rPr>
            </w:pPr>
            <w:r>
              <w:rPr>
                <w:color w:val="000000"/>
                <w:sz w:val="18"/>
                <w:szCs w:val="18"/>
              </w:rPr>
              <w:t>3</w:t>
            </w:r>
          </w:p>
        </w:tc>
        <w:tc>
          <w:tcPr>
            <w:tcW w:w="4050" w:type="dxa"/>
            <w:vAlign w:val="center"/>
          </w:tcPr>
          <w:p w:rsidR="00765899" w:rsidRDefault="00765899" w:rsidP="00AE7C7E">
            <w:pPr>
              <w:rPr>
                <w:color w:val="000000"/>
                <w:sz w:val="18"/>
                <w:szCs w:val="18"/>
              </w:rPr>
            </w:pPr>
            <w:r>
              <w:rPr>
                <w:color w:val="000000"/>
                <w:sz w:val="18"/>
                <w:szCs w:val="18"/>
              </w:rPr>
              <w:t xml:space="preserve">“But I will act on my own to slash bureaucracy and streamline the permitting process for key </w:t>
            </w:r>
            <w:r w:rsidR="004917D5">
              <w:rPr>
                <w:color w:val="000000"/>
                <w:sz w:val="18"/>
                <w:szCs w:val="18"/>
              </w:rPr>
              <w:t xml:space="preserve">[federal infrastructure] </w:t>
            </w:r>
            <w:r>
              <w:rPr>
                <w:color w:val="000000"/>
                <w:sz w:val="18"/>
                <w:szCs w:val="18"/>
              </w:rPr>
              <w:t>projects ... .”</w:t>
            </w:r>
          </w:p>
        </w:tc>
        <w:tc>
          <w:tcPr>
            <w:tcW w:w="2160" w:type="dxa"/>
            <w:vAlign w:val="bottom"/>
          </w:tcPr>
          <w:p w:rsidR="00765899" w:rsidRDefault="00765899">
            <w:pPr>
              <w:jc w:val="center"/>
              <w:rPr>
                <w:color w:val="000000"/>
                <w:sz w:val="18"/>
                <w:szCs w:val="18"/>
              </w:rPr>
            </w:pPr>
            <w:r>
              <w:rPr>
                <w:color w:val="000000"/>
                <w:sz w:val="18"/>
                <w:szCs w:val="18"/>
              </w:rPr>
              <w:t>Unknown.</w:t>
            </w:r>
          </w:p>
        </w:tc>
        <w:tc>
          <w:tcPr>
            <w:tcW w:w="4146" w:type="dxa"/>
            <w:vAlign w:val="center"/>
          </w:tcPr>
          <w:p w:rsidR="00765899" w:rsidRDefault="00765899" w:rsidP="00AE7C7E">
            <w:pPr>
              <w:rPr>
                <w:color w:val="000000"/>
                <w:sz w:val="18"/>
                <w:szCs w:val="18"/>
              </w:rPr>
            </w:pPr>
            <w:r>
              <w:rPr>
                <w:color w:val="000000"/>
                <w:sz w:val="18"/>
                <w:szCs w:val="18"/>
              </w:rPr>
              <w:t>Insufficient detail to determine whether this proposal entails loans, subsidies, or some other kind of federal involvement affecting outlays.</w:t>
            </w:r>
          </w:p>
        </w:tc>
      </w:tr>
      <w:tr w:rsidR="00765899" w:rsidRPr="004943A4" w:rsidTr="00AE7C7E">
        <w:tc>
          <w:tcPr>
            <w:tcW w:w="720" w:type="dxa"/>
            <w:vAlign w:val="bottom"/>
          </w:tcPr>
          <w:p w:rsidR="00765899" w:rsidRDefault="00765899">
            <w:pPr>
              <w:jc w:val="right"/>
              <w:rPr>
                <w:color w:val="000000"/>
                <w:sz w:val="18"/>
                <w:szCs w:val="18"/>
              </w:rPr>
            </w:pPr>
            <w:r>
              <w:rPr>
                <w:color w:val="000000"/>
                <w:sz w:val="18"/>
                <w:szCs w:val="18"/>
              </w:rPr>
              <w:t>4</w:t>
            </w:r>
          </w:p>
        </w:tc>
        <w:tc>
          <w:tcPr>
            <w:tcW w:w="4050" w:type="dxa"/>
            <w:vAlign w:val="center"/>
          </w:tcPr>
          <w:p w:rsidR="00765899" w:rsidRDefault="00765899" w:rsidP="00AE7C7E">
            <w:pPr>
              <w:rPr>
                <w:color w:val="000000"/>
                <w:sz w:val="18"/>
                <w:szCs w:val="18"/>
              </w:rPr>
            </w:pPr>
            <w:r>
              <w:rPr>
                <w:color w:val="000000"/>
                <w:sz w:val="18"/>
                <w:szCs w:val="18"/>
              </w:rPr>
              <w:t>“Tonight, I’m announcing we’ll launch six more [hubs for high-tech manufacturing] this year. Bipartisan bills in both houses could double the number of these hubs and the jobs they create. So get those bills to my desk ... .”</w:t>
            </w:r>
          </w:p>
        </w:tc>
        <w:tc>
          <w:tcPr>
            <w:tcW w:w="2160" w:type="dxa"/>
            <w:vAlign w:val="bottom"/>
          </w:tcPr>
          <w:p w:rsidR="00765899" w:rsidRDefault="00765899">
            <w:pPr>
              <w:jc w:val="center"/>
              <w:rPr>
                <w:color w:val="000000"/>
                <w:sz w:val="18"/>
                <w:szCs w:val="18"/>
              </w:rPr>
            </w:pPr>
            <w:r>
              <w:rPr>
                <w:color w:val="000000"/>
                <w:sz w:val="18"/>
                <w:szCs w:val="18"/>
              </w:rPr>
              <w:t>$0.086</w:t>
            </w:r>
          </w:p>
        </w:tc>
        <w:tc>
          <w:tcPr>
            <w:tcW w:w="4146" w:type="dxa"/>
            <w:vAlign w:val="center"/>
          </w:tcPr>
          <w:p w:rsidR="00AE7C7E" w:rsidRDefault="00765899" w:rsidP="00AE7C7E">
            <w:pPr>
              <w:rPr>
                <w:color w:val="000000"/>
                <w:sz w:val="18"/>
                <w:szCs w:val="18"/>
              </w:rPr>
            </w:pPr>
            <w:r>
              <w:rPr>
                <w:color w:val="000000"/>
                <w:sz w:val="18"/>
                <w:szCs w:val="18"/>
              </w:rPr>
              <w:t xml:space="preserve">In </w:t>
            </w:r>
            <w:r w:rsidRPr="00AE7C7E">
              <w:rPr>
                <w:i/>
                <w:color w:val="000000"/>
                <w:sz w:val="18"/>
                <w:szCs w:val="18"/>
              </w:rPr>
              <w:t>Fiscal Year 2014 Budget of the U.S. Government Mid-Session Review</w:t>
            </w:r>
            <w:r>
              <w:rPr>
                <w:color w:val="000000"/>
                <w:sz w:val="18"/>
                <w:szCs w:val="18"/>
              </w:rPr>
              <w:t xml:space="preserve"> (</w:t>
            </w:r>
            <w:r w:rsidRPr="00661A94">
              <w:rPr>
                <w:i/>
                <w:color w:val="000000"/>
                <w:sz w:val="18"/>
                <w:szCs w:val="18"/>
              </w:rPr>
              <w:t>MSR</w:t>
            </w:r>
            <w:r>
              <w:rPr>
                <w:color w:val="000000"/>
                <w:sz w:val="18"/>
                <w:szCs w:val="18"/>
              </w:rPr>
              <w:t xml:space="preserve">), the President proposed to develop a national network of manufacturing innovation institutes funded at $756 million from FY 2015 through FY 2019. http://www.whitehouse.gov/sites/default/files/omb/budget/fy2014/assets/14msr.pdf </w:t>
            </w:r>
          </w:p>
          <w:p w:rsidR="00AE7C7E" w:rsidRDefault="00AE7C7E" w:rsidP="00AE7C7E">
            <w:pPr>
              <w:rPr>
                <w:color w:val="000000"/>
                <w:sz w:val="18"/>
                <w:szCs w:val="18"/>
              </w:rPr>
            </w:pPr>
          </w:p>
          <w:p w:rsidR="00765899" w:rsidRDefault="00876E9E" w:rsidP="00291419">
            <w:pPr>
              <w:rPr>
                <w:color w:val="000000"/>
                <w:sz w:val="18"/>
                <w:szCs w:val="18"/>
              </w:rPr>
            </w:pPr>
            <w:r>
              <w:rPr>
                <w:color w:val="000000"/>
                <w:sz w:val="18"/>
                <w:szCs w:val="18"/>
              </w:rPr>
              <w:t xml:space="preserve">The legislation cited, </w:t>
            </w:r>
            <w:r w:rsidR="00765899">
              <w:rPr>
                <w:color w:val="000000"/>
                <w:sz w:val="18"/>
                <w:szCs w:val="18"/>
              </w:rPr>
              <w:t>H</w:t>
            </w:r>
            <w:r w:rsidR="0066268E">
              <w:rPr>
                <w:color w:val="000000"/>
                <w:sz w:val="18"/>
                <w:szCs w:val="18"/>
              </w:rPr>
              <w:t>.</w:t>
            </w:r>
            <w:r w:rsidR="00765899">
              <w:rPr>
                <w:color w:val="000000"/>
                <w:sz w:val="18"/>
                <w:szCs w:val="18"/>
              </w:rPr>
              <w:t>R</w:t>
            </w:r>
            <w:r w:rsidR="0066268E">
              <w:rPr>
                <w:color w:val="000000"/>
                <w:sz w:val="18"/>
                <w:szCs w:val="18"/>
              </w:rPr>
              <w:t>.</w:t>
            </w:r>
            <w:r w:rsidR="00765899">
              <w:rPr>
                <w:color w:val="000000"/>
                <w:sz w:val="18"/>
                <w:szCs w:val="18"/>
              </w:rPr>
              <w:t xml:space="preserve"> 2996 and S. 1468 (113</w:t>
            </w:r>
            <w:r w:rsidR="00291419" w:rsidRPr="00291419">
              <w:rPr>
                <w:color w:val="000000"/>
                <w:sz w:val="18"/>
                <w:szCs w:val="18"/>
                <w:vertAlign w:val="superscript"/>
              </w:rPr>
              <w:t>th</w:t>
            </w:r>
            <w:r w:rsidR="00765899">
              <w:rPr>
                <w:color w:val="000000"/>
                <w:sz w:val="18"/>
                <w:szCs w:val="18"/>
              </w:rPr>
              <w:t xml:space="preserve"> Congress), the Revitalize American Manufacturing and Innovation Act of 2013, authorize $600 million over seven years in new funding.</w:t>
            </w:r>
          </w:p>
        </w:tc>
      </w:tr>
      <w:tr w:rsidR="00765899" w:rsidRPr="004943A4" w:rsidTr="00AE7C7E">
        <w:trPr>
          <w:trHeight w:val="56"/>
        </w:trPr>
        <w:tc>
          <w:tcPr>
            <w:tcW w:w="720" w:type="dxa"/>
            <w:vAlign w:val="bottom"/>
          </w:tcPr>
          <w:p w:rsidR="00765899" w:rsidRDefault="00765899">
            <w:pPr>
              <w:jc w:val="right"/>
              <w:rPr>
                <w:color w:val="000000"/>
                <w:sz w:val="18"/>
                <w:szCs w:val="18"/>
              </w:rPr>
            </w:pPr>
            <w:r>
              <w:rPr>
                <w:color w:val="000000"/>
                <w:sz w:val="18"/>
                <w:szCs w:val="18"/>
              </w:rPr>
              <w:t>5</w:t>
            </w:r>
          </w:p>
        </w:tc>
        <w:tc>
          <w:tcPr>
            <w:tcW w:w="4050" w:type="dxa"/>
            <w:vAlign w:val="center"/>
          </w:tcPr>
          <w:p w:rsidR="00765899" w:rsidRDefault="00765899" w:rsidP="00AE7C7E">
            <w:pPr>
              <w:rPr>
                <w:color w:val="000000"/>
                <w:sz w:val="18"/>
                <w:szCs w:val="18"/>
              </w:rPr>
            </w:pPr>
            <w:r>
              <w:rPr>
                <w:color w:val="000000"/>
                <w:sz w:val="18"/>
                <w:szCs w:val="18"/>
              </w:rPr>
              <w:t xml:space="preserve">“That’s why Congress should undo the damage done </w:t>
            </w:r>
            <w:r>
              <w:rPr>
                <w:color w:val="000000"/>
                <w:sz w:val="18"/>
                <w:szCs w:val="18"/>
              </w:rPr>
              <w:lastRenderedPageBreak/>
              <w:t>by last year’s cuts to basic research so we can unleash the next great American discovery ... .”</w:t>
            </w:r>
          </w:p>
        </w:tc>
        <w:tc>
          <w:tcPr>
            <w:tcW w:w="2160" w:type="dxa"/>
            <w:vAlign w:val="bottom"/>
          </w:tcPr>
          <w:p w:rsidR="00765899" w:rsidRDefault="00765899">
            <w:pPr>
              <w:jc w:val="center"/>
              <w:rPr>
                <w:color w:val="000000"/>
                <w:sz w:val="18"/>
                <w:szCs w:val="18"/>
              </w:rPr>
            </w:pPr>
            <w:r>
              <w:rPr>
                <w:color w:val="000000"/>
                <w:sz w:val="18"/>
                <w:szCs w:val="18"/>
              </w:rPr>
              <w:lastRenderedPageBreak/>
              <w:t>Unknown.</w:t>
            </w:r>
          </w:p>
        </w:tc>
        <w:tc>
          <w:tcPr>
            <w:tcW w:w="4146" w:type="dxa"/>
            <w:vAlign w:val="center"/>
          </w:tcPr>
          <w:p w:rsidR="00765899" w:rsidRDefault="00765899" w:rsidP="00876E9E">
            <w:pPr>
              <w:rPr>
                <w:color w:val="000000"/>
                <w:sz w:val="18"/>
                <w:szCs w:val="18"/>
              </w:rPr>
            </w:pPr>
            <w:r>
              <w:rPr>
                <w:color w:val="000000"/>
                <w:sz w:val="18"/>
                <w:szCs w:val="18"/>
              </w:rPr>
              <w:t xml:space="preserve">The Congressional Research Service estimates that </w:t>
            </w:r>
            <w:r>
              <w:rPr>
                <w:color w:val="000000"/>
                <w:sz w:val="18"/>
                <w:szCs w:val="18"/>
              </w:rPr>
              <w:lastRenderedPageBreak/>
              <w:t>the National Institute of Standards and Technology, the National Science Foundation, and the Office of Science within the Department of Energy re</w:t>
            </w:r>
            <w:r w:rsidR="00AE7C7E">
              <w:rPr>
                <w:color w:val="000000"/>
                <w:sz w:val="18"/>
                <w:szCs w:val="18"/>
              </w:rPr>
              <w:t>ceived net appropriations total</w:t>
            </w:r>
            <w:r>
              <w:rPr>
                <w:color w:val="000000"/>
                <w:sz w:val="18"/>
                <w:szCs w:val="18"/>
              </w:rPr>
              <w:t xml:space="preserve">ing $12.141 billion in FY 2013 (a figure that incorporates sequester rescissions) for research-related </w:t>
            </w:r>
            <w:r w:rsidR="00876E9E">
              <w:rPr>
                <w:color w:val="000000"/>
                <w:sz w:val="18"/>
                <w:szCs w:val="18"/>
              </w:rPr>
              <w:t>programs</w:t>
            </w:r>
            <w:r>
              <w:rPr>
                <w:color w:val="000000"/>
                <w:sz w:val="18"/>
                <w:szCs w:val="18"/>
              </w:rPr>
              <w:t xml:space="preserve">. That amount is 3.1% less </w:t>
            </w:r>
            <w:r w:rsidR="0066268E">
              <w:rPr>
                <w:color w:val="000000"/>
                <w:sz w:val="18"/>
                <w:szCs w:val="18"/>
              </w:rPr>
              <w:t>than t</w:t>
            </w:r>
            <w:r>
              <w:rPr>
                <w:color w:val="000000"/>
                <w:sz w:val="18"/>
                <w:szCs w:val="18"/>
              </w:rPr>
              <w:t xml:space="preserve">he FY 2012 funding levels for those </w:t>
            </w:r>
            <w:r w:rsidR="00876E9E">
              <w:rPr>
                <w:color w:val="000000"/>
                <w:sz w:val="18"/>
                <w:szCs w:val="18"/>
              </w:rPr>
              <w:t>programs</w:t>
            </w:r>
            <w:r>
              <w:rPr>
                <w:color w:val="000000"/>
                <w:sz w:val="18"/>
                <w:szCs w:val="18"/>
              </w:rPr>
              <w:t>. (http://www.fas.org/sgp/crs/misc/R42410.pdf) It is unclear whether the President’s proposal to increase federal support of research entails loans, subsidies, or some other kind of federal involvement affecting outlays.</w:t>
            </w:r>
          </w:p>
        </w:tc>
      </w:tr>
      <w:tr w:rsidR="00765899" w:rsidRPr="004943A4" w:rsidTr="00AE7C7E">
        <w:tc>
          <w:tcPr>
            <w:tcW w:w="720" w:type="dxa"/>
            <w:vAlign w:val="bottom"/>
          </w:tcPr>
          <w:p w:rsidR="00765899" w:rsidRDefault="00765899">
            <w:pPr>
              <w:jc w:val="right"/>
              <w:rPr>
                <w:color w:val="000000"/>
                <w:sz w:val="18"/>
                <w:szCs w:val="18"/>
              </w:rPr>
            </w:pPr>
            <w:r>
              <w:rPr>
                <w:color w:val="000000"/>
                <w:sz w:val="18"/>
                <w:szCs w:val="18"/>
              </w:rPr>
              <w:lastRenderedPageBreak/>
              <w:t>6</w:t>
            </w:r>
          </w:p>
        </w:tc>
        <w:tc>
          <w:tcPr>
            <w:tcW w:w="4050" w:type="dxa"/>
            <w:vAlign w:val="center"/>
          </w:tcPr>
          <w:p w:rsidR="00765899" w:rsidRDefault="00765899" w:rsidP="00AE7C7E">
            <w:pPr>
              <w:rPr>
                <w:color w:val="000000"/>
                <w:sz w:val="18"/>
                <w:szCs w:val="18"/>
              </w:rPr>
            </w:pPr>
            <w:r>
              <w:rPr>
                <w:color w:val="000000"/>
                <w:sz w:val="18"/>
                <w:szCs w:val="18"/>
              </w:rPr>
              <w:t>“And let’s pass a patent reform bill  ... .”</w:t>
            </w:r>
          </w:p>
        </w:tc>
        <w:tc>
          <w:tcPr>
            <w:tcW w:w="2160" w:type="dxa"/>
            <w:vAlign w:val="bottom"/>
          </w:tcPr>
          <w:p w:rsidR="00765899" w:rsidRDefault="00765899">
            <w:pPr>
              <w:jc w:val="center"/>
              <w:rPr>
                <w:color w:val="000000"/>
                <w:sz w:val="18"/>
                <w:szCs w:val="18"/>
              </w:rPr>
            </w:pPr>
            <w:r>
              <w:rPr>
                <w:color w:val="000000"/>
                <w:sz w:val="18"/>
                <w:szCs w:val="18"/>
              </w:rPr>
              <w:t>Unknown.</w:t>
            </w:r>
          </w:p>
        </w:tc>
        <w:tc>
          <w:tcPr>
            <w:tcW w:w="4146" w:type="dxa"/>
            <w:vAlign w:val="center"/>
          </w:tcPr>
          <w:p w:rsidR="00765899" w:rsidRDefault="0066268E" w:rsidP="00AE7C7E">
            <w:pPr>
              <w:rPr>
                <w:color w:val="000000"/>
                <w:sz w:val="18"/>
                <w:szCs w:val="18"/>
              </w:rPr>
            </w:pPr>
            <w:r>
              <w:rPr>
                <w:color w:val="000000"/>
                <w:sz w:val="18"/>
                <w:szCs w:val="18"/>
              </w:rPr>
              <w:t>Because</w:t>
            </w:r>
            <w:r w:rsidR="00765899">
              <w:rPr>
                <w:color w:val="000000"/>
                <w:sz w:val="18"/>
                <w:szCs w:val="18"/>
              </w:rPr>
              <w:t xml:space="preserve"> the Patent and Trade Office is funded primarily with user fees, it is not expected that this proposal would have a significant net impact on federal spending levels.</w:t>
            </w:r>
          </w:p>
        </w:tc>
      </w:tr>
      <w:tr w:rsidR="00765899" w:rsidRPr="004943A4" w:rsidTr="00AE7C7E">
        <w:tc>
          <w:tcPr>
            <w:tcW w:w="720" w:type="dxa"/>
            <w:vAlign w:val="bottom"/>
          </w:tcPr>
          <w:p w:rsidR="00765899" w:rsidRDefault="00765899">
            <w:pPr>
              <w:jc w:val="right"/>
              <w:rPr>
                <w:color w:val="000000"/>
                <w:sz w:val="18"/>
                <w:szCs w:val="18"/>
              </w:rPr>
            </w:pPr>
            <w:r>
              <w:rPr>
                <w:color w:val="000000"/>
                <w:sz w:val="18"/>
                <w:szCs w:val="18"/>
              </w:rPr>
              <w:t>7</w:t>
            </w:r>
          </w:p>
        </w:tc>
        <w:tc>
          <w:tcPr>
            <w:tcW w:w="4050" w:type="dxa"/>
            <w:vAlign w:val="center"/>
          </w:tcPr>
          <w:p w:rsidR="00765899" w:rsidRDefault="00765899" w:rsidP="00AE7C7E">
            <w:pPr>
              <w:rPr>
                <w:color w:val="000000"/>
                <w:sz w:val="18"/>
                <w:szCs w:val="18"/>
              </w:rPr>
            </w:pPr>
            <w:r>
              <w:rPr>
                <w:color w:val="000000"/>
                <w:sz w:val="18"/>
                <w:szCs w:val="18"/>
              </w:rPr>
              <w:t>“And while we’re at it, I’ll use my authority to protect more of our pristine federal lands for future generations.”</w:t>
            </w:r>
          </w:p>
        </w:tc>
        <w:tc>
          <w:tcPr>
            <w:tcW w:w="2160" w:type="dxa"/>
            <w:vAlign w:val="bottom"/>
          </w:tcPr>
          <w:p w:rsidR="00765899" w:rsidRDefault="00765899">
            <w:pPr>
              <w:jc w:val="center"/>
              <w:rPr>
                <w:color w:val="000000"/>
                <w:sz w:val="18"/>
                <w:szCs w:val="18"/>
              </w:rPr>
            </w:pPr>
            <w:r>
              <w:rPr>
                <w:color w:val="000000"/>
                <w:sz w:val="18"/>
                <w:szCs w:val="18"/>
              </w:rPr>
              <w:t>Unknown.</w:t>
            </w:r>
          </w:p>
        </w:tc>
        <w:tc>
          <w:tcPr>
            <w:tcW w:w="4146" w:type="dxa"/>
            <w:vAlign w:val="center"/>
          </w:tcPr>
          <w:p w:rsidR="00765899" w:rsidRDefault="00765899" w:rsidP="00AE7C7E">
            <w:pPr>
              <w:rPr>
                <w:color w:val="000000"/>
                <w:sz w:val="18"/>
                <w:szCs w:val="18"/>
              </w:rPr>
            </w:pPr>
            <w:r>
              <w:rPr>
                <w:color w:val="000000"/>
                <w:sz w:val="18"/>
                <w:szCs w:val="18"/>
              </w:rPr>
              <w:t>The Antiquities Act of 1906 gives the President the authority to use executive orders to restrict the use of land owned by the federal government. Such lands are titled as “National Monuments.” This authority could potentially impact offsetting receipts by closing off certain land to leasing for the extraction of minerals, gas, or oil.</w:t>
            </w:r>
          </w:p>
        </w:tc>
      </w:tr>
      <w:tr w:rsidR="00765899" w:rsidRPr="004943A4" w:rsidTr="00AE7C7E">
        <w:tc>
          <w:tcPr>
            <w:tcW w:w="720" w:type="dxa"/>
            <w:vAlign w:val="bottom"/>
          </w:tcPr>
          <w:p w:rsidR="00765899" w:rsidRDefault="00765899">
            <w:pPr>
              <w:jc w:val="right"/>
              <w:rPr>
                <w:color w:val="000000"/>
                <w:sz w:val="18"/>
                <w:szCs w:val="18"/>
              </w:rPr>
            </w:pPr>
            <w:r>
              <w:rPr>
                <w:color w:val="000000"/>
                <w:sz w:val="18"/>
                <w:szCs w:val="18"/>
              </w:rPr>
              <w:t>8</w:t>
            </w:r>
          </w:p>
        </w:tc>
        <w:tc>
          <w:tcPr>
            <w:tcW w:w="4050" w:type="dxa"/>
            <w:vAlign w:val="center"/>
          </w:tcPr>
          <w:p w:rsidR="00765899" w:rsidRDefault="00765899" w:rsidP="00AE7C7E">
            <w:pPr>
              <w:rPr>
                <w:color w:val="000000"/>
                <w:sz w:val="18"/>
                <w:szCs w:val="18"/>
              </w:rPr>
            </w:pPr>
            <w:r>
              <w:rPr>
                <w:color w:val="000000"/>
                <w:sz w:val="18"/>
                <w:szCs w:val="18"/>
              </w:rPr>
              <w:t>“Businesses plan to invest almost $100 billion in new factories that use natural gas. I’ll cut red tape to help states get those factories built.”</w:t>
            </w:r>
          </w:p>
        </w:tc>
        <w:tc>
          <w:tcPr>
            <w:tcW w:w="2160" w:type="dxa"/>
            <w:vAlign w:val="bottom"/>
          </w:tcPr>
          <w:p w:rsidR="00765899" w:rsidRDefault="00765899">
            <w:pPr>
              <w:jc w:val="center"/>
              <w:rPr>
                <w:color w:val="000000"/>
                <w:sz w:val="18"/>
                <w:szCs w:val="18"/>
              </w:rPr>
            </w:pPr>
            <w:r>
              <w:rPr>
                <w:color w:val="000000"/>
                <w:sz w:val="18"/>
                <w:szCs w:val="18"/>
              </w:rPr>
              <w:t>Unknown.</w:t>
            </w:r>
          </w:p>
        </w:tc>
        <w:tc>
          <w:tcPr>
            <w:tcW w:w="4146" w:type="dxa"/>
            <w:vAlign w:val="center"/>
          </w:tcPr>
          <w:p w:rsidR="00765899" w:rsidRDefault="00765899" w:rsidP="00AE7C7E">
            <w:pPr>
              <w:rPr>
                <w:color w:val="000000"/>
                <w:sz w:val="18"/>
                <w:szCs w:val="18"/>
              </w:rPr>
            </w:pPr>
            <w:r>
              <w:rPr>
                <w:color w:val="000000"/>
                <w:sz w:val="18"/>
                <w:szCs w:val="18"/>
              </w:rPr>
              <w:t>Insufficient detail to determine whether this proposal entails loans, subsidies, or some other kind of federal involvement affecting outlays.</w:t>
            </w:r>
          </w:p>
        </w:tc>
      </w:tr>
      <w:tr w:rsidR="00765899" w:rsidRPr="004943A4" w:rsidTr="00AE7C7E">
        <w:tc>
          <w:tcPr>
            <w:tcW w:w="720" w:type="dxa"/>
            <w:vAlign w:val="bottom"/>
          </w:tcPr>
          <w:p w:rsidR="00765899" w:rsidRDefault="00765899">
            <w:pPr>
              <w:jc w:val="right"/>
              <w:rPr>
                <w:color w:val="000000"/>
                <w:sz w:val="18"/>
                <w:szCs w:val="18"/>
              </w:rPr>
            </w:pPr>
            <w:r>
              <w:rPr>
                <w:color w:val="000000"/>
                <w:sz w:val="18"/>
                <w:szCs w:val="18"/>
              </w:rPr>
              <w:t>9</w:t>
            </w:r>
          </w:p>
        </w:tc>
        <w:tc>
          <w:tcPr>
            <w:tcW w:w="4050" w:type="dxa"/>
            <w:vAlign w:val="center"/>
          </w:tcPr>
          <w:p w:rsidR="00765899" w:rsidRDefault="00765899" w:rsidP="00AE7C7E">
            <w:pPr>
              <w:rPr>
                <w:color w:val="000000"/>
                <w:sz w:val="18"/>
                <w:szCs w:val="18"/>
              </w:rPr>
            </w:pPr>
            <w:r>
              <w:rPr>
                <w:color w:val="000000"/>
                <w:sz w:val="18"/>
                <w:szCs w:val="18"/>
              </w:rPr>
              <w:t>“Congress can help by putting people to work building fueling stations that shift more cars and trucks from foreign oil to American natural gas.”</w:t>
            </w:r>
          </w:p>
        </w:tc>
        <w:tc>
          <w:tcPr>
            <w:tcW w:w="2160" w:type="dxa"/>
            <w:vAlign w:val="bottom"/>
          </w:tcPr>
          <w:p w:rsidR="00765899" w:rsidRDefault="00765899">
            <w:pPr>
              <w:jc w:val="center"/>
              <w:rPr>
                <w:color w:val="000000"/>
                <w:sz w:val="18"/>
                <w:szCs w:val="18"/>
              </w:rPr>
            </w:pPr>
            <w:r>
              <w:rPr>
                <w:color w:val="000000"/>
                <w:sz w:val="18"/>
                <w:szCs w:val="18"/>
              </w:rPr>
              <w:t>$0.274</w:t>
            </w:r>
          </w:p>
        </w:tc>
        <w:tc>
          <w:tcPr>
            <w:tcW w:w="4146" w:type="dxa"/>
            <w:vAlign w:val="center"/>
          </w:tcPr>
          <w:p w:rsidR="00765899" w:rsidRDefault="00765899" w:rsidP="00876E9E">
            <w:pPr>
              <w:rPr>
                <w:color w:val="000000"/>
                <w:sz w:val="18"/>
                <w:szCs w:val="18"/>
              </w:rPr>
            </w:pPr>
            <w:r>
              <w:rPr>
                <w:color w:val="000000"/>
                <w:sz w:val="18"/>
                <w:szCs w:val="18"/>
              </w:rPr>
              <w:t>H.R. 1027 (113</w:t>
            </w:r>
            <w:r w:rsidRPr="00291419">
              <w:rPr>
                <w:color w:val="000000"/>
                <w:sz w:val="18"/>
                <w:szCs w:val="18"/>
                <w:vertAlign w:val="superscript"/>
              </w:rPr>
              <w:t>th</w:t>
            </w:r>
            <w:r w:rsidR="00291419">
              <w:rPr>
                <w:color w:val="000000"/>
                <w:sz w:val="18"/>
                <w:szCs w:val="18"/>
              </w:rPr>
              <w:t xml:space="preserve"> </w:t>
            </w:r>
            <w:r>
              <w:rPr>
                <w:color w:val="000000"/>
                <w:sz w:val="18"/>
                <w:szCs w:val="18"/>
              </w:rPr>
              <w:t>Congress), the Advanced Vehicle Technology Act of 2013</w:t>
            </w:r>
            <w:r w:rsidR="004917D5">
              <w:rPr>
                <w:color w:val="000000"/>
                <w:sz w:val="18"/>
                <w:szCs w:val="18"/>
              </w:rPr>
              <w:t>,</w:t>
            </w:r>
            <w:r>
              <w:rPr>
                <w:color w:val="000000"/>
                <w:sz w:val="18"/>
                <w:szCs w:val="18"/>
              </w:rPr>
              <w:t xml:space="preserve"> would authorize the Department of Energy to develop commercial applications for renewable fuel technology that could reduce or eliminate petroleum </w:t>
            </w:r>
            <w:r w:rsidR="0066268E">
              <w:rPr>
                <w:color w:val="000000"/>
                <w:sz w:val="18"/>
                <w:szCs w:val="18"/>
              </w:rPr>
              <w:t>usage</w:t>
            </w:r>
            <w:r>
              <w:rPr>
                <w:color w:val="000000"/>
                <w:sz w:val="18"/>
                <w:szCs w:val="18"/>
              </w:rPr>
              <w:t xml:space="preserve"> and emissions. </w:t>
            </w:r>
            <w:r w:rsidR="00876E9E">
              <w:rPr>
                <w:color w:val="000000"/>
                <w:sz w:val="18"/>
                <w:szCs w:val="18"/>
              </w:rPr>
              <w:t xml:space="preserve">In the previous Congress, </w:t>
            </w:r>
            <w:r>
              <w:rPr>
                <w:color w:val="000000"/>
                <w:sz w:val="18"/>
                <w:szCs w:val="18"/>
              </w:rPr>
              <w:t xml:space="preserve">CBO determined </w:t>
            </w:r>
            <w:r w:rsidR="00876E9E">
              <w:rPr>
                <w:color w:val="000000"/>
                <w:sz w:val="18"/>
                <w:szCs w:val="18"/>
              </w:rPr>
              <w:t>that provisions in a related bill, S. 734,</w:t>
            </w:r>
            <w:r>
              <w:rPr>
                <w:color w:val="000000"/>
                <w:sz w:val="18"/>
                <w:szCs w:val="18"/>
              </w:rPr>
              <w:t xml:space="preserve"> provisions would increase spending by $1.368 billion over five years.</w:t>
            </w:r>
            <w:r w:rsidR="00876E9E">
              <w:rPr>
                <w:color w:val="000000"/>
                <w:sz w:val="18"/>
                <w:szCs w:val="18"/>
              </w:rPr>
              <w:t xml:space="preserve"> </w:t>
            </w:r>
            <w:r w:rsidR="00876E9E" w:rsidRPr="00876E9E">
              <w:rPr>
                <w:color w:val="000000"/>
                <w:sz w:val="18"/>
                <w:szCs w:val="18"/>
              </w:rPr>
              <w:t>http://www.cbo.gov/sites/default/files/cbofiles/ftpdocs/123xx/doc12379/s734.pdf</w:t>
            </w:r>
          </w:p>
        </w:tc>
      </w:tr>
      <w:tr w:rsidR="00765899" w:rsidRPr="004943A4" w:rsidTr="00AE7C7E">
        <w:tc>
          <w:tcPr>
            <w:tcW w:w="720" w:type="dxa"/>
            <w:vAlign w:val="bottom"/>
          </w:tcPr>
          <w:p w:rsidR="00765899" w:rsidRDefault="00765899">
            <w:pPr>
              <w:jc w:val="right"/>
              <w:rPr>
                <w:color w:val="000000"/>
                <w:sz w:val="18"/>
                <w:szCs w:val="18"/>
              </w:rPr>
            </w:pPr>
            <w:r>
              <w:rPr>
                <w:color w:val="000000"/>
                <w:sz w:val="18"/>
                <w:szCs w:val="18"/>
              </w:rPr>
              <w:t>10</w:t>
            </w:r>
          </w:p>
        </w:tc>
        <w:tc>
          <w:tcPr>
            <w:tcW w:w="4050" w:type="dxa"/>
            <w:vAlign w:val="center"/>
          </w:tcPr>
          <w:p w:rsidR="00765899" w:rsidRDefault="00765899" w:rsidP="00AE7C7E">
            <w:pPr>
              <w:rPr>
                <w:color w:val="000000"/>
                <w:sz w:val="18"/>
                <w:szCs w:val="18"/>
              </w:rPr>
            </w:pPr>
            <w:r>
              <w:rPr>
                <w:color w:val="000000"/>
                <w:sz w:val="18"/>
                <w:szCs w:val="18"/>
              </w:rPr>
              <w:t>“Climate change is a fact. And when our children’s children look us in the eye and ask if we did all we could to leave them a safer, more stable world, with new sources of energy, I want us to be able to say yes, we did.”</w:t>
            </w:r>
          </w:p>
        </w:tc>
        <w:tc>
          <w:tcPr>
            <w:tcW w:w="2160" w:type="dxa"/>
            <w:vAlign w:val="bottom"/>
          </w:tcPr>
          <w:p w:rsidR="00765899" w:rsidRDefault="00765899">
            <w:pPr>
              <w:jc w:val="center"/>
              <w:rPr>
                <w:color w:val="000000"/>
                <w:sz w:val="18"/>
                <w:szCs w:val="18"/>
              </w:rPr>
            </w:pPr>
            <w:r>
              <w:rPr>
                <w:color w:val="000000"/>
                <w:sz w:val="18"/>
                <w:szCs w:val="18"/>
              </w:rPr>
              <w:t>Unknown.</w:t>
            </w:r>
          </w:p>
        </w:tc>
        <w:tc>
          <w:tcPr>
            <w:tcW w:w="4146" w:type="dxa"/>
            <w:vAlign w:val="center"/>
          </w:tcPr>
          <w:p w:rsidR="00765899" w:rsidRDefault="00765899" w:rsidP="00AE7C7E">
            <w:pPr>
              <w:rPr>
                <w:color w:val="000000"/>
                <w:sz w:val="18"/>
                <w:szCs w:val="18"/>
              </w:rPr>
            </w:pPr>
            <w:r>
              <w:rPr>
                <w:color w:val="000000"/>
                <w:sz w:val="18"/>
                <w:szCs w:val="18"/>
              </w:rPr>
              <w:t>It is unclear what specific additional action the President is calling for regarding the climate. In last year’s State of the Union Address, President Obama made a more explicit call for passage of</w:t>
            </w:r>
            <w:r w:rsidR="0066268E">
              <w:rPr>
                <w:color w:val="000000"/>
                <w:sz w:val="18"/>
                <w:szCs w:val="18"/>
              </w:rPr>
              <w:t xml:space="preserve"> a</w:t>
            </w:r>
            <w:r>
              <w:rPr>
                <w:color w:val="000000"/>
                <w:sz w:val="18"/>
                <w:szCs w:val="18"/>
              </w:rPr>
              <w:t xml:space="preserve"> “market-based solution to climate change, like the one John McCain and Joe Lieberman worked on together a few years ago.” CBO determined that this legislation would cost $56.48 billion per year over the first five years after enactment. http://www.cbo.gov/ftpdocs/91xx/doc9120/s2191.pdf.</w:t>
            </w:r>
          </w:p>
        </w:tc>
      </w:tr>
      <w:tr w:rsidR="00765899" w:rsidRPr="004943A4" w:rsidTr="00AE7C7E">
        <w:tc>
          <w:tcPr>
            <w:tcW w:w="720" w:type="dxa"/>
            <w:vAlign w:val="bottom"/>
          </w:tcPr>
          <w:p w:rsidR="00765899" w:rsidRDefault="00765899">
            <w:pPr>
              <w:jc w:val="right"/>
              <w:rPr>
                <w:color w:val="000000"/>
                <w:sz w:val="18"/>
                <w:szCs w:val="18"/>
              </w:rPr>
            </w:pPr>
            <w:r>
              <w:rPr>
                <w:color w:val="000000"/>
                <w:sz w:val="18"/>
                <w:szCs w:val="18"/>
              </w:rPr>
              <w:t>11</w:t>
            </w:r>
          </w:p>
        </w:tc>
        <w:tc>
          <w:tcPr>
            <w:tcW w:w="4050" w:type="dxa"/>
            <w:vAlign w:val="center"/>
          </w:tcPr>
          <w:p w:rsidR="00765899" w:rsidRDefault="00765899" w:rsidP="00AE7C7E">
            <w:pPr>
              <w:rPr>
                <w:color w:val="000000"/>
                <w:sz w:val="18"/>
                <w:szCs w:val="18"/>
              </w:rPr>
            </w:pPr>
            <w:r>
              <w:rPr>
                <w:color w:val="000000"/>
                <w:sz w:val="18"/>
                <w:szCs w:val="18"/>
              </w:rPr>
              <w:t>“ ... [F]ix  our broken immigration system. ... So let’s get immigration reform done this year.”</w:t>
            </w:r>
          </w:p>
        </w:tc>
        <w:tc>
          <w:tcPr>
            <w:tcW w:w="2160" w:type="dxa"/>
            <w:vAlign w:val="bottom"/>
          </w:tcPr>
          <w:p w:rsidR="00765899" w:rsidRDefault="00765899">
            <w:pPr>
              <w:jc w:val="center"/>
              <w:rPr>
                <w:color w:val="000000"/>
                <w:sz w:val="18"/>
                <w:szCs w:val="18"/>
              </w:rPr>
            </w:pPr>
            <w:r>
              <w:rPr>
                <w:color w:val="000000"/>
                <w:sz w:val="18"/>
                <w:szCs w:val="18"/>
              </w:rPr>
              <w:t>$20.2</w:t>
            </w:r>
          </w:p>
        </w:tc>
        <w:tc>
          <w:tcPr>
            <w:tcW w:w="4146" w:type="dxa"/>
            <w:vAlign w:val="center"/>
          </w:tcPr>
          <w:p w:rsidR="00765899" w:rsidRDefault="00765899" w:rsidP="00AE7C7E">
            <w:pPr>
              <w:rPr>
                <w:color w:val="000000"/>
                <w:sz w:val="18"/>
                <w:szCs w:val="18"/>
              </w:rPr>
            </w:pPr>
            <w:r>
              <w:rPr>
                <w:color w:val="000000"/>
                <w:sz w:val="18"/>
                <w:szCs w:val="18"/>
              </w:rPr>
              <w:t>CBO cost estimate for S. 744 (113</w:t>
            </w:r>
            <w:r w:rsidRPr="00291419">
              <w:rPr>
                <w:color w:val="000000"/>
                <w:sz w:val="18"/>
                <w:szCs w:val="18"/>
                <w:vertAlign w:val="superscript"/>
              </w:rPr>
              <w:t>th</w:t>
            </w:r>
            <w:r>
              <w:rPr>
                <w:color w:val="000000"/>
                <w:sz w:val="18"/>
                <w:szCs w:val="18"/>
              </w:rPr>
              <w:t xml:space="preserve"> Congress), the Border Security, Economic Opportunity, and Immigration Modernization Act, which was passed by the Senate in June 2013. The bill would streamline and overhaul the immigration system and increase border security and infrastructure. </w:t>
            </w:r>
            <w:r w:rsidR="008F7EF7">
              <w:rPr>
                <w:color w:val="000000"/>
                <w:sz w:val="18"/>
                <w:szCs w:val="18"/>
              </w:rPr>
              <w:t xml:space="preserve">Total cost of $101 billion over the next five years. </w:t>
            </w:r>
            <w:r>
              <w:rPr>
                <w:color w:val="000000"/>
                <w:sz w:val="18"/>
                <w:szCs w:val="18"/>
              </w:rPr>
              <w:t>http://www.cbo.gov/sites/default/files/cbofiles/attachments/s744aspassed.pdf</w:t>
            </w:r>
          </w:p>
        </w:tc>
      </w:tr>
      <w:tr w:rsidR="00765899" w:rsidRPr="004943A4" w:rsidTr="00AE7C7E">
        <w:tc>
          <w:tcPr>
            <w:tcW w:w="720" w:type="dxa"/>
            <w:vAlign w:val="bottom"/>
          </w:tcPr>
          <w:p w:rsidR="00765899" w:rsidRDefault="00765899">
            <w:pPr>
              <w:jc w:val="right"/>
              <w:rPr>
                <w:color w:val="000000"/>
                <w:sz w:val="18"/>
                <w:szCs w:val="18"/>
              </w:rPr>
            </w:pPr>
            <w:r>
              <w:rPr>
                <w:color w:val="000000"/>
                <w:sz w:val="18"/>
                <w:szCs w:val="18"/>
              </w:rPr>
              <w:t>12</w:t>
            </w:r>
          </w:p>
        </w:tc>
        <w:tc>
          <w:tcPr>
            <w:tcW w:w="4050" w:type="dxa"/>
            <w:vAlign w:val="center"/>
          </w:tcPr>
          <w:p w:rsidR="00765899" w:rsidRDefault="00765899" w:rsidP="00AE7C7E">
            <w:pPr>
              <w:rPr>
                <w:color w:val="000000"/>
                <w:sz w:val="18"/>
                <w:szCs w:val="18"/>
              </w:rPr>
            </w:pPr>
            <w:r>
              <w:rPr>
                <w:color w:val="000000"/>
                <w:sz w:val="18"/>
                <w:szCs w:val="18"/>
              </w:rPr>
              <w:t>“I’ve asked Vice President Biden to lead an across-the-board reform of America’s training programs to make sure they have one mission: train Americans with the skills employers need, and match them to good jobs that need to be filled right now.”</w:t>
            </w:r>
          </w:p>
        </w:tc>
        <w:tc>
          <w:tcPr>
            <w:tcW w:w="2160" w:type="dxa"/>
            <w:vAlign w:val="bottom"/>
          </w:tcPr>
          <w:p w:rsidR="00765899" w:rsidRDefault="00765899" w:rsidP="00065DAC">
            <w:pPr>
              <w:jc w:val="center"/>
              <w:rPr>
                <w:sz w:val="18"/>
                <w:szCs w:val="18"/>
              </w:rPr>
            </w:pPr>
            <w:r>
              <w:rPr>
                <w:sz w:val="18"/>
                <w:szCs w:val="18"/>
              </w:rPr>
              <w:t>Unknown.</w:t>
            </w:r>
          </w:p>
        </w:tc>
        <w:tc>
          <w:tcPr>
            <w:tcW w:w="4146" w:type="dxa"/>
            <w:vAlign w:val="center"/>
          </w:tcPr>
          <w:p w:rsidR="00242506" w:rsidRDefault="00765899" w:rsidP="00242506">
            <w:pPr>
              <w:rPr>
                <w:color w:val="000000"/>
                <w:sz w:val="18"/>
                <w:szCs w:val="18"/>
              </w:rPr>
            </w:pPr>
            <w:r>
              <w:rPr>
                <w:color w:val="000000"/>
                <w:sz w:val="18"/>
                <w:szCs w:val="18"/>
              </w:rPr>
              <w:t xml:space="preserve">The details of the “across-the-board reform” are as yet unclear. In a review of federal job training programs, the Government Accountability Office reported that “[i]n fiscal year 2009, 9 federal agencies spent approximately $18 billion to administer 47 </w:t>
            </w:r>
            <w:r>
              <w:rPr>
                <w:color w:val="000000"/>
                <w:sz w:val="18"/>
                <w:szCs w:val="18"/>
              </w:rPr>
              <w:lastRenderedPageBreak/>
              <w:t>programs.”</w:t>
            </w:r>
          </w:p>
          <w:p w:rsidR="00765899" w:rsidRDefault="00765899" w:rsidP="00242506">
            <w:pPr>
              <w:rPr>
                <w:color w:val="000000"/>
                <w:sz w:val="18"/>
                <w:szCs w:val="18"/>
              </w:rPr>
            </w:pPr>
            <w:r>
              <w:rPr>
                <w:color w:val="000000"/>
                <w:sz w:val="18"/>
                <w:szCs w:val="18"/>
              </w:rPr>
              <w:t>http://www.gao.gov/new.items/d1192.pdf</w:t>
            </w:r>
          </w:p>
        </w:tc>
      </w:tr>
      <w:tr w:rsidR="00765899" w:rsidRPr="004943A4" w:rsidTr="00AE7C7E">
        <w:tc>
          <w:tcPr>
            <w:tcW w:w="720" w:type="dxa"/>
            <w:vAlign w:val="bottom"/>
          </w:tcPr>
          <w:p w:rsidR="00765899" w:rsidRDefault="00765899">
            <w:pPr>
              <w:jc w:val="right"/>
              <w:rPr>
                <w:color w:val="000000"/>
                <w:sz w:val="18"/>
                <w:szCs w:val="18"/>
              </w:rPr>
            </w:pPr>
            <w:r>
              <w:rPr>
                <w:color w:val="000000"/>
                <w:sz w:val="18"/>
                <w:szCs w:val="18"/>
              </w:rPr>
              <w:lastRenderedPageBreak/>
              <w:t>13</w:t>
            </w:r>
          </w:p>
        </w:tc>
        <w:tc>
          <w:tcPr>
            <w:tcW w:w="4050" w:type="dxa"/>
            <w:vAlign w:val="center"/>
          </w:tcPr>
          <w:p w:rsidR="00765899" w:rsidRDefault="00765899" w:rsidP="00AE7C7E">
            <w:pPr>
              <w:rPr>
                <w:color w:val="000000"/>
                <w:sz w:val="18"/>
                <w:szCs w:val="18"/>
              </w:rPr>
            </w:pPr>
            <w:r>
              <w:rPr>
                <w:color w:val="000000"/>
                <w:sz w:val="18"/>
                <w:szCs w:val="18"/>
              </w:rPr>
              <w:t>“ ... [M]ore on-the-job training, and more apprenticeships ... .”</w:t>
            </w:r>
          </w:p>
        </w:tc>
        <w:tc>
          <w:tcPr>
            <w:tcW w:w="2160" w:type="dxa"/>
            <w:vAlign w:val="bottom"/>
          </w:tcPr>
          <w:p w:rsidR="00765899" w:rsidRDefault="00765899" w:rsidP="00065DAC">
            <w:pPr>
              <w:jc w:val="center"/>
              <w:rPr>
                <w:sz w:val="18"/>
                <w:szCs w:val="18"/>
              </w:rPr>
            </w:pPr>
            <w:r>
              <w:rPr>
                <w:sz w:val="18"/>
                <w:szCs w:val="18"/>
              </w:rPr>
              <w:t>Unknown.</w:t>
            </w:r>
          </w:p>
        </w:tc>
        <w:tc>
          <w:tcPr>
            <w:tcW w:w="4146" w:type="dxa"/>
            <w:vAlign w:val="center"/>
          </w:tcPr>
          <w:p w:rsidR="00242506" w:rsidRDefault="00765899" w:rsidP="00065DAC">
            <w:pPr>
              <w:rPr>
                <w:color w:val="000000"/>
                <w:sz w:val="18"/>
                <w:szCs w:val="18"/>
              </w:rPr>
            </w:pPr>
            <w:r>
              <w:rPr>
                <w:color w:val="000000"/>
                <w:sz w:val="18"/>
                <w:szCs w:val="18"/>
              </w:rPr>
              <w:t xml:space="preserve">A </w:t>
            </w:r>
            <w:r w:rsidRPr="00065DAC">
              <w:rPr>
                <w:i/>
                <w:color w:val="000000"/>
                <w:sz w:val="18"/>
                <w:szCs w:val="18"/>
              </w:rPr>
              <w:t>State of the Union Fact</w:t>
            </w:r>
            <w:r w:rsidR="00065DAC" w:rsidRPr="00065DAC">
              <w:rPr>
                <w:i/>
                <w:color w:val="000000"/>
                <w:sz w:val="18"/>
                <w:szCs w:val="18"/>
              </w:rPr>
              <w:t xml:space="preserve"> S</w:t>
            </w:r>
            <w:r w:rsidRPr="00065DAC">
              <w:rPr>
                <w:i/>
                <w:color w:val="000000"/>
                <w:sz w:val="18"/>
                <w:szCs w:val="18"/>
              </w:rPr>
              <w:t>heet</w:t>
            </w:r>
            <w:r>
              <w:rPr>
                <w:color w:val="000000"/>
                <w:sz w:val="18"/>
                <w:szCs w:val="18"/>
              </w:rPr>
              <w:t xml:space="preserve"> released by the White House notes: “This year the President will mobilize leaders from business, labor, community colleges and other training providers to boost the number of apprenticeships in this country and expand these ‘learn and earn’ strategies to other cutting edge fields.” </w:t>
            </w:r>
          </w:p>
          <w:p w:rsidR="00765899" w:rsidRDefault="00765899" w:rsidP="00065DAC">
            <w:pPr>
              <w:rPr>
                <w:color w:val="000000"/>
                <w:sz w:val="18"/>
                <w:szCs w:val="18"/>
              </w:rPr>
            </w:pPr>
            <w:r>
              <w:rPr>
                <w:color w:val="000000"/>
                <w:sz w:val="18"/>
                <w:szCs w:val="18"/>
              </w:rPr>
              <w:t>http://www.whitehouse.gov/the-press-office/2014/01/28/state-union-fact-sheet-opportunity-all</w:t>
            </w:r>
          </w:p>
        </w:tc>
      </w:tr>
      <w:tr w:rsidR="00765899" w:rsidRPr="004943A4" w:rsidTr="00AE7C7E">
        <w:tc>
          <w:tcPr>
            <w:tcW w:w="720" w:type="dxa"/>
            <w:vAlign w:val="bottom"/>
          </w:tcPr>
          <w:p w:rsidR="00765899" w:rsidRDefault="00765899">
            <w:pPr>
              <w:jc w:val="right"/>
              <w:rPr>
                <w:color w:val="000000"/>
                <w:sz w:val="18"/>
                <w:szCs w:val="18"/>
              </w:rPr>
            </w:pPr>
            <w:r>
              <w:rPr>
                <w:color w:val="000000"/>
                <w:sz w:val="18"/>
                <w:szCs w:val="18"/>
              </w:rPr>
              <w:t>14</w:t>
            </w:r>
          </w:p>
        </w:tc>
        <w:tc>
          <w:tcPr>
            <w:tcW w:w="4050" w:type="dxa"/>
            <w:vAlign w:val="center"/>
          </w:tcPr>
          <w:p w:rsidR="00765899" w:rsidRDefault="00765899" w:rsidP="00AE7C7E">
            <w:pPr>
              <w:rPr>
                <w:color w:val="000000"/>
                <w:sz w:val="18"/>
                <w:szCs w:val="18"/>
              </w:rPr>
            </w:pPr>
            <w:r>
              <w:rPr>
                <w:color w:val="000000"/>
                <w:sz w:val="18"/>
                <w:szCs w:val="18"/>
              </w:rPr>
              <w:t>“It means connecting companies to community colleges that can help design training to fill their specific needs.”</w:t>
            </w:r>
          </w:p>
        </w:tc>
        <w:tc>
          <w:tcPr>
            <w:tcW w:w="2160" w:type="dxa"/>
            <w:vAlign w:val="bottom"/>
          </w:tcPr>
          <w:p w:rsidR="00765899" w:rsidRDefault="00765899">
            <w:pPr>
              <w:jc w:val="center"/>
              <w:rPr>
                <w:color w:val="000000"/>
                <w:sz w:val="18"/>
                <w:szCs w:val="18"/>
              </w:rPr>
            </w:pPr>
            <w:r>
              <w:rPr>
                <w:color w:val="000000"/>
                <w:sz w:val="18"/>
                <w:szCs w:val="18"/>
              </w:rPr>
              <w:t>$0.547</w:t>
            </w:r>
          </w:p>
        </w:tc>
        <w:tc>
          <w:tcPr>
            <w:tcW w:w="4146" w:type="dxa"/>
            <w:vAlign w:val="center"/>
          </w:tcPr>
          <w:p w:rsidR="00765899" w:rsidRDefault="00065DAC" w:rsidP="00065DAC">
            <w:pPr>
              <w:rPr>
                <w:color w:val="000000"/>
                <w:sz w:val="18"/>
                <w:szCs w:val="18"/>
              </w:rPr>
            </w:pPr>
            <w:r>
              <w:rPr>
                <w:color w:val="000000"/>
                <w:sz w:val="18"/>
                <w:szCs w:val="18"/>
              </w:rPr>
              <w:t xml:space="preserve">The White House </w:t>
            </w:r>
            <w:r w:rsidRPr="00065DAC">
              <w:rPr>
                <w:i/>
                <w:color w:val="000000"/>
                <w:sz w:val="18"/>
                <w:szCs w:val="18"/>
              </w:rPr>
              <w:t>Fact Sheet</w:t>
            </w:r>
            <w:r>
              <w:rPr>
                <w:color w:val="000000"/>
                <w:sz w:val="18"/>
                <w:szCs w:val="18"/>
              </w:rPr>
              <w:t>:</w:t>
            </w:r>
            <w:r w:rsidR="00765899">
              <w:rPr>
                <w:color w:val="000000"/>
                <w:sz w:val="18"/>
                <w:szCs w:val="18"/>
              </w:rPr>
              <w:t xml:space="preserve"> “In the coming months, we will help community colleges build partnerships with businesses so that as industries’ skills needs change community colleges can quickly adapt.” The </w:t>
            </w:r>
            <w:r w:rsidR="00765899" w:rsidRPr="00896900">
              <w:rPr>
                <w:i/>
                <w:color w:val="000000"/>
                <w:sz w:val="18"/>
                <w:szCs w:val="18"/>
              </w:rPr>
              <w:t>MSR</w:t>
            </w:r>
            <w:r w:rsidR="00765899">
              <w:rPr>
                <w:color w:val="000000"/>
                <w:sz w:val="18"/>
                <w:szCs w:val="18"/>
              </w:rPr>
              <w:t xml:space="preserve"> contains a proposal to establish a Community College to Career Fund at a cost of $2.733 billion over five years.</w:t>
            </w:r>
          </w:p>
        </w:tc>
      </w:tr>
      <w:tr w:rsidR="00765899" w:rsidRPr="004943A4" w:rsidTr="00AE7C7E">
        <w:tc>
          <w:tcPr>
            <w:tcW w:w="720" w:type="dxa"/>
            <w:vAlign w:val="bottom"/>
          </w:tcPr>
          <w:p w:rsidR="00765899" w:rsidRDefault="00765899">
            <w:pPr>
              <w:jc w:val="right"/>
              <w:rPr>
                <w:color w:val="000000"/>
                <w:sz w:val="18"/>
                <w:szCs w:val="18"/>
              </w:rPr>
            </w:pPr>
            <w:r>
              <w:rPr>
                <w:color w:val="000000"/>
                <w:sz w:val="18"/>
                <w:szCs w:val="18"/>
              </w:rPr>
              <w:t>15</w:t>
            </w:r>
          </w:p>
        </w:tc>
        <w:tc>
          <w:tcPr>
            <w:tcW w:w="4050" w:type="dxa"/>
            <w:vAlign w:val="center"/>
          </w:tcPr>
          <w:p w:rsidR="00765899" w:rsidRDefault="00765899" w:rsidP="00AE7C7E">
            <w:pPr>
              <w:rPr>
                <w:color w:val="000000"/>
                <w:sz w:val="18"/>
                <w:szCs w:val="18"/>
              </w:rPr>
            </w:pPr>
            <w:r>
              <w:rPr>
                <w:color w:val="000000"/>
                <w:sz w:val="18"/>
                <w:szCs w:val="18"/>
              </w:rPr>
              <w:t>“ ... [T]his Congress needs to restore the unemployment insurance ... .”</w:t>
            </w:r>
          </w:p>
        </w:tc>
        <w:tc>
          <w:tcPr>
            <w:tcW w:w="2160" w:type="dxa"/>
            <w:vAlign w:val="bottom"/>
          </w:tcPr>
          <w:p w:rsidR="00765899" w:rsidRDefault="00765899">
            <w:pPr>
              <w:jc w:val="center"/>
              <w:rPr>
                <w:color w:val="000000"/>
                <w:sz w:val="18"/>
                <w:szCs w:val="18"/>
              </w:rPr>
            </w:pPr>
            <w:r>
              <w:rPr>
                <w:color w:val="000000"/>
                <w:sz w:val="18"/>
                <w:szCs w:val="18"/>
              </w:rPr>
              <w:t>$12.84</w:t>
            </w:r>
          </w:p>
        </w:tc>
        <w:tc>
          <w:tcPr>
            <w:tcW w:w="4146" w:type="dxa"/>
            <w:vAlign w:val="center"/>
          </w:tcPr>
          <w:p w:rsidR="00765899" w:rsidRDefault="00765899" w:rsidP="00BC3D0C">
            <w:pPr>
              <w:rPr>
                <w:color w:val="000000"/>
                <w:sz w:val="18"/>
                <w:szCs w:val="18"/>
              </w:rPr>
            </w:pPr>
            <w:r>
              <w:rPr>
                <w:color w:val="000000"/>
                <w:sz w:val="18"/>
                <w:szCs w:val="18"/>
              </w:rPr>
              <w:t>CBO cost estimate for H.R. 3546 (113</w:t>
            </w:r>
            <w:r w:rsidRPr="00291419">
              <w:rPr>
                <w:color w:val="000000"/>
                <w:sz w:val="18"/>
                <w:szCs w:val="18"/>
                <w:vertAlign w:val="superscript"/>
              </w:rPr>
              <w:t>th</w:t>
            </w:r>
            <w:r>
              <w:rPr>
                <w:color w:val="000000"/>
                <w:sz w:val="18"/>
                <w:szCs w:val="18"/>
              </w:rPr>
              <w:t xml:space="preserve"> Congress), the Emergency Unemployment Compensation Extension Act of 2013, which would extend the emergency unemployment compensation (EUC) program for one year. The bill would cost $19.</w:t>
            </w:r>
            <w:r w:rsidR="00BC3D0C">
              <w:rPr>
                <w:color w:val="000000"/>
                <w:sz w:val="18"/>
                <w:szCs w:val="18"/>
              </w:rPr>
              <w:t>1</w:t>
            </w:r>
            <w:r>
              <w:rPr>
                <w:color w:val="000000"/>
                <w:sz w:val="18"/>
                <w:szCs w:val="18"/>
              </w:rPr>
              <w:t>7 billion in the first year and $6.51 billion in the second.</w:t>
            </w:r>
          </w:p>
        </w:tc>
      </w:tr>
      <w:tr w:rsidR="00765899" w:rsidRPr="004943A4" w:rsidTr="00AE7C7E">
        <w:tc>
          <w:tcPr>
            <w:tcW w:w="720" w:type="dxa"/>
            <w:vAlign w:val="bottom"/>
          </w:tcPr>
          <w:p w:rsidR="00765899" w:rsidRDefault="00765899">
            <w:pPr>
              <w:jc w:val="right"/>
              <w:rPr>
                <w:color w:val="000000"/>
                <w:sz w:val="18"/>
                <w:szCs w:val="18"/>
              </w:rPr>
            </w:pPr>
            <w:r>
              <w:rPr>
                <w:color w:val="000000"/>
                <w:sz w:val="18"/>
                <w:szCs w:val="18"/>
              </w:rPr>
              <w:t>16</w:t>
            </w:r>
          </w:p>
        </w:tc>
        <w:tc>
          <w:tcPr>
            <w:tcW w:w="4050" w:type="dxa"/>
            <w:vAlign w:val="center"/>
          </w:tcPr>
          <w:p w:rsidR="00765899" w:rsidRDefault="00765899" w:rsidP="00AE7C7E">
            <w:pPr>
              <w:rPr>
                <w:color w:val="000000"/>
                <w:sz w:val="18"/>
                <w:szCs w:val="18"/>
              </w:rPr>
            </w:pPr>
            <w:r>
              <w:rPr>
                <w:color w:val="000000"/>
                <w:sz w:val="18"/>
                <w:szCs w:val="18"/>
              </w:rPr>
              <w:t>“Last year, I asked this Congress to help states make high-quality pre-K available to every four year-old. As a parent as well as a President, I repeat that request tonight.”</w:t>
            </w:r>
          </w:p>
        </w:tc>
        <w:tc>
          <w:tcPr>
            <w:tcW w:w="2160" w:type="dxa"/>
            <w:vAlign w:val="bottom"/>
          </w:tcPr>
          <w:p w:rsidR="00765899" w:rsidRDefault="00765899">
            <w:pPr>
              <w:jc w:val="center"/>
              <w:rPr>
                <w:color w:val="000000"/>
                <w:sz w:val="18"/>
                <w:szCs w:val="18"/>
              </w:rPr>
            </w:pPr>
            <w:r>
              <w:rPr>
                <w:color w:val="000000"/>
                <w:sz w:val="18"/>
                <w:szCs w:val="18"/>
              </w:rPr>
              <w:t>$3.458</w:t>
            </w:r>
          </w:p>
        </w:tc>
        <w:tc>
          <w:tcPr>
            <w:tcW w:w="4146" w:type="dxa"/>
            <w:vAlign w:val="center"/>
          </w:tcPr>
          <w:p w:rsidR="00765899" w:rsidRDefault="00765899" w:rsidP="00896900">
            <w:pPr>
              <w:rPr>
                <w:color w:val="000000"/>
                <w:sz w:val="18"/>
                <w:szCs w:val="18"/>
              </w:rPr>
            </w:pPr>
            <w:r w:rsidRPr="00896900">
              <w:rPr>
                <w:i/>
                <w:color w:val="000000"/>
                <w:sz w:val="18"/>
                <w:szCs w:val="18"/>
              </w:rPr>
              <w:t>MSR</w:t>
            </w:r>
            <w:r w:rsidR="00896900">
              <w:rPr>
                <w:color w:val="000000"/>
                <w:sz w:val="18"/>
                <w:szCs w:val="18"/>
              </w:rPr>
              <w:t xml:space="preserve">: </w:t>
            </w:r>
            <w:r>
              <w:rPr>
                <w:color w:val="000000"/>
                <w:sz w:val="18"/>
                <w:szCs w:val="18"/>
              </w:rPr>
              <w:t xml:space="preserve">$130 million in the first year and $17.291 billion over five years. </w:t>
            </w:r>
            <w:r w:rsidR="009A1C97">
              <w:rPr>
                <w:color w:val="000000"/>
                <w:sz w:val="18"/>
                <w:szCs w:val="18"/>
              </w:rPr>
              <w:t>http://www.whitehouse.gov/sites/default/files/omb/budget/fy2014/assets/14msr.pdf</w:t>
            </w:r>
          </w:p>
        </w:tc>
      </w:tr>
      <w:tr w:rsidR="00765899" w:rsidRPr="004943A4" w:rsidTr="00AE7C7E">
        <w:tc>
          <w:tcPr>
            <w:tcW w:w="720" w:type="dxa"/>
            <w:vAlign w:val="bottom"/>
          </w:tcPr>
          <w:p w:rsidR="00765899" w:rsidRDefault="00765899">
            <w:pPr>
              <w:jc w:val="right"/>
              <w:rPr>
                <w:color w:val="000000"/>
                <w:sz w:val="18"/>
                <w:szCs w:val="18"/>
              </w:rPr>
            </w:pPr>
            <w:r>
              <w:rPr>
                <w:color w:val="000000"/>
                <w:sz w:val="18"/>
                <w:szCs w:val="18"/>
              </w:rPr>
              <w:t>17</w:t>
            </w:r>
          </w:p>
        </w:tc>
        <w:tc>
          <w:tcPr>
            <w:tcW w:w="4050" w:type="dxa"/>
            <w:vAlign w:val="center"/>
          </w:tcPr>
          <w:p w:rsidR="00765899" w:rsidRDefault="00765899" w:rsidP="00AE7C7E">
            <w:pPr>
              <w:rPr>
                <w:color w:val="000000"/>
                <w:sz w:val="18"/>
                <w:szCs w:val="18"/>
              </w:rPr>
            </w:pPr>
            <w:r>
              <w:rPr>
                <w:color w:val="000000"/>
                <w:sz w:val="18"/>
                <w:szCs w:val="18"/>
              </w:rPr>
              <w:t>“We’re shaking up our system of higher education to give parents more information, and colleges more incentives to offer better value, so that no middle-class kid is priced out of a college education.”</w:t>
            </w:r>
          </w:p>
        </w:tc>
        <w:tc>
          <w:tcPr>
            <w:tcW w:w="2160" w:type="dxa"/>
            <w:vAlign w:val="bottom"/>
          </w:tcPr>
          <w:p w:rsidR="00765899" w:rsidRDefault="00765899">
            <w:pPr>
              <w:jc w:val="center"/>
              <w:rPr>
                <w:color w:val="000000"/>
                <w:sz w:val="18"/>
                <w:szCs w:val="18"/>
              </w:rPr>
            </w:pPr>
            <w:r>
              <w:rPr>
                <w:color w:val="000000"/>
                <w:sz w:val="18"/>
                <w:szCs w:val="18"/>
              </w:rPr>
              <w:t>Unknown.</w:t>
            </w:r>
          </w:p>
        </w:tc>
        <w:tc>
          <w:tcPr>
            <w:tcW w:w="4146" w:type="dxa"/>
            <w:vAlign w:val="center"/>
          </w:tcPr>
          <w:p w:rsidR="00765899" w:rsidRDefault="00765899" w:rsidP="00AE7C7E">
            <w:pPr>
              <w:rPr>
                <w:color w:val="000000"/>
                <w:sz w:val="18"/>
                <w:szCs w:val="18"/>
              </w:rPr>
            </w:pPr>
            <w:r>
              <w:rPr>
                <w:color w:val="000000"/>
                <w:sz w:val="18"/>
                <w:szCs w:val="18"/>
              </w:rPr>
              <w:t xml:space="preserve">In a document released with last year’s State of the Union address, the President called on Congress </w:t>
            </w:r>
            <w:r w:rsidR="00896900">
              <w:rPr>
                <w:color w:val="000000"/>
                <w:sz w:val="18"/>
                <w:szCs w:val="18"/>
              </w:rPr>
              <w:t>“</w:t>
            </w:r>
            <w:r>
              <w:rPr>
                <w:color w:val="000000"/>
                <w:sz w:val="18"/>
                <w:szCs w:val="18"/>
              </w:rPr>
              <w:t>to consider value, affordability, and student outcomes in making determinations about which colleges and universities receive access to federal student aid, either by incorporating measures of value and affordability into the existing accreditation system; or by establishing a new, alternative system of accreditation that would provide pathways for higher education models and colleges to receive federal student aid based on performance and results.” It is unclear whether this would require additional funding.</w:t>
            </w:r>
          </w:p>
        </w:tc>
      </w:tr>
      <w:tr w:rsidR="00765899" w:rsidRPr="004943A4" w:rsidTr="00AE7C7E">
        <w:tc>
          <w:tcPr>
            <w:tcW w:w="720" w:type="dxa"/>
            <w:vAlign w:val="bottom"/>
          </w:tcPr>
          <w:p w:rsidR="00765899" w:rsidRDefault="00765899">
            <w:pPr>
              <w:jc w:val="right"/>
              <w:rPr>
                <w:color w:val="000000"/>
                <w:sz w:val="18"/>
                <w:szCs w:val="18"/>
              </w:rPr>
            </w:pPr>
            <w:r>
              <w:rPr>
                <w:color w:val="000000"/>
                <w:sz w:val="18"/>
                <w:szCs w:val="18"/>
              </w:rPr>
              <w:t>18</w:t>
            </w:r>
          </w:p>
        </w:tc>
        <w:tc>
          <w:tcPr>
            <w:tcW w:w="4050" w:type="dxa"/>
            <w:vAlign w:val="center"/>
          </w:tcPr>
          <w:p w:rsidR="00765899" w:rsidRDefault="00765899" w:rsidP="00AE7C7E">
            <w:pPr>
              <w:rPr>
                <w:color w:val="000000"/>
                <w:sz w:val="18"/>
                <w:szCs w:val="18"/>
              </w:rPr>
            </w:pPr>
            <w:r>
              <w:rPr>
                <w:color w:val="000000"/>
                <w:sz w:val="18"/>
                <w:szCs w:val="18"/>
              </w:rPr>
              <w:t>“We’re offering millions the opportunity to cap their monthly student loan payments to ten percent of their income, and I want to work with Congress to see how we can help even more Americans who feel trapped by student loan debt.”</w:t>
            </w:r>
          </w:p>
        </w:tc>
        <w:tc>
          <w:tcPr>
            <w:tcW w:w="2160" w:type="dxa"/>
            <w:vAlign w:val="bottom"/>
          </w:tcPr>
          <w:p w:rsidR="00765899" w:rsidRDefault="00765899">
            <w:pPr>
              <w:jc w:val="center"/>
              <w:rPr>
                <w:color w:val="000000"/>
                <w:sz w:val="18"/>
                <w:szCs w:val="18"/>
              </w:rPr>
            </w:pPr>
            <w:r>
              <w:rPr>
                <w:color w:val="000000"/>
                <w:sz w:val="18"/>
                <w:szCs w:val="18"/>
              </w:rPr>
              <w:t>$0.985</w:t>
            </w:r>
          </w:p>
        </w:tc>
        <w:tc>
          <w:tcPr>
            <w:tcW w:w="4146" w:type="dxa"/>
            <w:vAlign w:val="center"/>
          </w:tcPr>
          <w:p w:rsidR="00765899" w:rsidRDefault="00765899" w:rsidP="00AE7C7E">
            <w:pPr>
              <w:rPr>
                <w:color w:val="000000"/>
                <w:sz w:val="18"/>
                <w:szCs w:val="18"/>
              </w:rPr>
            </w:pPr>
            <w:r>
              <w:rPr>
                <w:color w:val="000000"/>
                <w:sz w:val="18"/>
                <w:szCs w:val="18"/>
              </w:rPr>
              <w:t xml:space="preserve">Last year’s </w:t>
            </w:r>
            <w:r w:rsidRPr="00896900">
              <w:rPr>
                <w:i/>
                <w:color w:val="000000"/>
                <w:sz w:val="18"/>
                <w:szCs w:val="18"/>
              </w:rPr>
              <w:t>Budget</w:t>
            </w:r>
            <w:r>
              <w:rPr>
                <w:color w:val="000000"/>
                <w:sz w:val="18"/>
                <w:szCs w:val="18"/>
              </w:rPr>
              <w:t xml:space="preserve"> and the </w:t>
            </w:r>
            <w:r w:rsidRPr="00896900">
              <w:rPr>
                <w:i/>
                <w:color w:val="000000"/>
                <w:sz w:val="18"/>
                <w:szCs w:val="18"/>
              </w:rPr>
              <w:t>MSR</w:t>
            </w:r>
            <w:r>
              <w:rPr>
                <w:color w:val="000000"/>
                <w:sz w:val="18"/>
                <w:szCs w:val="18"/>
              </w:rPr>
              <w:t xml:space="preserve"> contained a proposal to expand Pay-As-You-Earn to all borrowers at a cost of $4.923 billion over five years.</w:t>
            </w:r>
          </w:p>
        </w:tc>
      </w:tr>
      <w:tr w:rsidR="00765899" w:rsidRPr="004943A4" w:rsidTr="00AE7C7E">
        <w:tc>
          <w:tcPr>
            <w:tcW w:w="720" w:type="dxa"/>
            <w:vAlign w:val="bottom"/>
          </w:tcPr>
          <w:p w:rsidR="00765899" w:rsidRDefault="00765899">
            <w:pPr>
              <w:jc w:val="right"/>
              <w:rPr>
                <w:color w:val="000000"/>
                <w:sz w:val="18"/>
                <w:szCs w:val="18"/>
              </w:rPr>
            </w:pPr>
            <w:r>
              <w:rPr>
                <w:color w:val="000000"/>
                <w:sz w:val="18"/>
                <w:szCs w:val="18"/>
              </w:rPr>
              <w:t>19</w:t>
            </w:r>
          </w:p>
        </w:tc>
        <w:tc>
          <w:tcPr>
            <w:tcW w:w="4050" w:type="dxa"/>
            <w:vAlign w:val="center"/>
          </w:tcPr>
          <w:p w:rsidR="00765899" w:rsidRDefault="00765899" w:rsidP="00AE7C7E">
            <w:pPr>
              <w:rPr>
                <w:color w:val="000000"/>
                <w:sz w:val="18"/>
                <w:szCs w:val="18"/>
              </w:rPr>
            </w:pPr>
            <w:r>
              <w:rPr>
                <w:color w:val="000000"/>
                <w:sz w:val="18"/>
                <w:szCs w:val="18"/>
              </w:rPr>
              <w:t>“And I’m reaching out to some of America’s leading foundations and corporations on a new initiative to help more young men of color facing tough odds stay on track and reach their full potential.”</w:t>
            </w:r>
          </w:p>
        </w:tc>
        <w:tc>
          <w:tcPr>
            <w:tcW w:w="2160" w:type="dxa"/>
            <w:vAlign w:val="bottom"/>
          </w:tcPr>
          <w:p w:rsidR="00765899" w:rsidRDefault="00765899">
            <w:pPr>
              <w:jc w:val="center"/>
              <w:rPr>
                <w:color w:val="000000"/>
                <w:sz w:val="18"/>
                <w:szCs w:val="18"/>
              </w:rPr>
            </w:pPr>
            <w:r>
              <w:rPr>
                <w:color w:val="000000"/>
                <w:sz w:val="18"/>
                <w:szCs w:val="18"/>
              </w:rPr>
              <w:t>Unknown.</w:t>
            </w:r>
          </w:p>
        </w:tc>
        <w:tc>
          <w:tcPr>
            <w:tcW w:w="4146" w:type="dxa"/>
            <w:vAlign w:val="center"/>
          </w:tcPr>
          <w:p w:rsidR="00765899" w:rsidRDefault="00765899" w:rsidP="00AE7C7E">
            <w:pPr>
              <w:rPr>
                <w:color w:val="000000"/>
                <w:sz w:val="18"/>
                <w:szCs w:val="18"/>
              </w:rPr>
            </w:pPr>
            <w:r>
              <w:rPr>
                <w:color w:val="000000"/>
                <w:sz w:val="18"/>
                <w:szCs w:val="18"/>
              </w:rPr>
              <w:t>Insufficient detail to determine whether this proposal entails loans, subsidies, or some other kind of federal involvement affecting outlays.</w:t>
            </w:r>
            <w:r w:rsidR="00896900">
              <w:rPr>
                <w:color w:val="000000"/>
                <w:sz w:val="18"/>
                <w:szCs w:val="18"/>
              </w:rPr>
              <w:t xml:space="preserve"> </w:t>
            </w:r>
            <w:r>
              <w:rPr>
                <w:color w:val="000000"/>
                <w:sz w:val="18"/>
                <w:szCs w:val="18"/>
              </w:rPr>
              <w:t>The Obama Administration has partnered with the College Board on an initiative to improve the educational experience of young men of color. The Board released a number of policy recommendations including mentoring and improving teacher training.  https://youngmenofcolor.collegeboard.org/sites/default/files/downloads/EEYMC-ResearchReport.pdf</w:t>
            </w:r>
          </w:p>
        </w:tc>
      </w:tr>
      <w:tr w:rsidR="00765899" w:rsidRPr="004943A4" w:rsidTr="00AE7C7E">
        <w:tc>
          <w:tcPr>
            <w:tcW w:w="720" w:type="dxa"/>
            <w:vAlign w:val="bottom"/>
          </w:tcPr>
          <w:p w:rsidR="00765899" w:rsidRDefault="00765899">
            <w:pPr>
              <w:jc w:val="right"/>
              <w:rPr>
                <w:color w:val="000000"/>
                <w:sz w:val="18"/>
                <w:szCs w:val="18"/>
              </w:rPr>
            </w:pPr>
            <w:r>
              <w:rPr>
                <w:color w:val="000000"/>
                <w:sz w:val="18"/>
                <w:szCs w:val="18"/>
              </w:rPr>
              <w:t>20</w:t>
            </w:r>
          </w:p>
        </w:tc>
        <w:tc>
          <w:tcPr>
            <w:tcW w:w="4050" w:type="dxa"/>
            <w:vAlign w:val="center"/>
          </w:tcPr>
          <w:p w:rsidR="00765899" w:rsidRDefault="00765899" w:rsidP="00AE7C7E">
            <w:pPr>
              <w:rPr>
                <w:color w:val="000000"/>
                <w:sz w:val="18"/>
                <w:szCs w:val="18"/>
              </w:rPr>
            </w:pPr>
            <w:r>
              <w:rPr>
                <w:color w:val="000000"/>
                <w:sz w:val="18"/>
                <w:szCs w:val="18"/>
              </w:rPr>
              <w:t xml:space="preserve">“A woman deserves equal pay for equal work. She deserves to have a baby without sacrificing her job. A mother deserves a day off to care for a sick child or sick parent without running into hardship – and </w:t>
            </w:r>
            <w:r>
              <w:rPr>
                <w:color w:val="000000"/>
                <w:sz w:val="18"/>
                <w:szCs w:val="18"/>
              </w:rPr>
              <w:lastRenderedPageBreak/>
              <w:t>you know what, a father does, too.  It’s time to do away with workplace policies that belong in a ‘Mad Men’ episode. This year, let’s all come together – Congress, the White House, and businesses from Wall Street to Main Street – to give every woman the opportunity she deserves.”</w:t>
            </w:r>
          </w:p>
        </w:tc>
        <w:tc>
          <w:tcPr>
            <w:tcW w:w="2160" w:type="dxa"/>
            <w:vAlign w:val="bottom"/>
          </w:tcPr>
          <w:p w:rsidR="00765899" w:rsidRDefault="00765899">
            <w:pPr>
              <w:jc w:val="center"/>
              <w:rPr>
                <w:color w:val="000000"/>
                <w:sz w:val="18"/>
                <w:szCs w:val="18"/>
              </w:rPr>
            </w:pPr>
            <w:r>
              <w:rPr>
                <w:color w:val="000000"/>
                <w:sz w:val="18"/>
                <w:szCs w:val="18"/>
              </w:rPr>
              <w:lastRenderedPageBreak/>
              <w:t>$0.188</w:t>
            </w:r>
          </w:p>
        </w:tc>
        <w:tc>
          <w:tcPr>
            <w:tcW w:w="4146" w:type="dxa"/>
            <w:vAlign w:val="center"/>
          </w:tcPr>
          <w:p w:rsidR="00765899" w:rsidRDefault="00765899" w:rsidP="00AE7C7E">
            <w:pPr>
              <w:rPr>
                <w:color w:val="000000"/>
                <w:sz w:val="18"/>
                <w:szCs w:val="18"/>
              </w:rPr>
            </w:pPr>
            <w:r>
              <w:rPr>
                <w:color w:val="000000"/>
                <w:sz w:val="18"/>
                <w:szCs w:val="18"/>
              </w:rPr>
              <w:t xml:space="preserve">Such proposals would represent a new mandate on private sector employers, but there are </w:t>
            </w:r>
            <w:r w:rsidR="004917D5">
              <w:rPr>
                <w:color w:val="000000"/>
                <w:sz w:val="18"/>
                <w:szCs w:val="18"/>
              </w:rPr>
              <w:t xml:space="preserve">also </w:t>
            </w:r>
            <w:r>
              <w:rPr>
                <w:color w:val="000000"/>
                <w:sz w:val="18"/>
                <w:szCs w:val="18"/>
              </w:rPr>
              <w:t xml:space="preserve">costs for extending leave for federal employees. CBO scored the Federal Employees Paid Parental Leave Act of </w:t>
            </w:r>
            <w:r>
              <w:rPr>
                <w:color w:val="000000"/>
                <w:sz w:val="18"/>
                <w:szCs w:val="18"/>
              </w:rPr>
              <w:lastRenderedPageBreak/>
              <w:t xml:space="preserve">2009 as a $938 million cost over five years. http://www.cbo.gov/sites/default/files/cbofiles/ftpdocs/101xx/doc10152/hr626.pdf </w:t>
            </w:r>
            <w:r>
              <w:rPr>
                <w:color w:val="000000"/>
                <w:sz w:val="18"/>
                <w:szCs w:val="18"/>
              </w:rPr>
              <w:br/>
            </w:r>
            <w:r>
              <w:rPr>
                <w:color w:val="000000"/>
                <w:sz w:val="18"/>
                <w:szCs w:val="18"/>
              </w:rPr>
              <w:br/>
              <w:t>The proposal was reintroduced in the 113</w:t>
            </w:r>
            <w:r w:rsidRPr="00291419">
              <w:rPr>
                <w:color w:val="000000"/>
                <w:sz w:val="18"/>
                <w:szCs w:val="18"/>
                <w:vertAlign w:val="superscript"/>
              </w:rPr>
              <w:t>th</w:t>
            </w:r>
            <w:r>
              <w:rPr>
                <w:color w:val="000000"/>
                <w:sz w:val="18"/>
                <w:szCs w:val="18"/>
              </w:rPr>
              <w:t xml:space="preserve"> Congress as H.R. 517.</w:t>
            </w:r>
          </w:p>
        </w:tc>
      </w:tr>
      <w:tr w:rsidR="00765899" w:rsidRPr="004943A4" w:rsidTr="00AE7C7E">
        <w:tc>
          <w:tcPr>
            <w:tcW w:w="720" w:type="dxa"/>
            <w:vAlign w:val="bottom"/>
          </w:tcPr>
          <w:p w:rsidR="00765899" w:rsidRDefault="00765899">
            <w:pPr>
              <w:jc w:val="right"/>
              <w:rPr>
                <w:color w:val="000000"/>
                <w:sz w:val="18"/>
                <w:szCs w:val="18"/>
              </w:rPr>
            </w:pPr>
            <w:r>
              <w:rPr>
                <w:color w:val="000000"/>
                <w:sz w:val="18"/>
                <w:szCs w:val="18"/>
              </w:rPr>
              <w:lastRenderedPageBreak/>
              <w:t>21</w:t>
            </w:r>
          </w:p>
        </w:tc>
        <w:tc>
          <w:tcPr>
            <w:tcW w:w="4050" w:type="dxa"/>
            <w:vAlign w:val="center"/>
          </w:tcPr>
          <w:p w:rsidR="00765899" w:rsidRDefault="00765899" w:rsidP="00AE7C7E">
            <w:pPr>
              <w:rPr>
                <w:color w:val="000000"/>
                <w:sz w:val="18"/>
                <w:szCs w:val="18"/>
              </w:rPr>
            </w:pPr>
            <w:r>
              <w:rPr>
                <w:color w:val="000000"/>
                <w:sz w:val="18"/>
                <w:szCs w:val="18"/>
              </w:rPr>
              <w:t>“In the coming weeks, I will issue an Executive Order requiring federal contractors to pay their federally-funded employees a fair wage of at least $10.10 an hour ... . ... Tom Harkin and George Miller have a bill to fix that by lifting the minimum wage to $10.10. ... It doesn’t involve any new bureaucratic program.  So join the rest of the country. Say yes. Give America a raise.”</w:t>
            </w:r>
          </w:p>
        </w:tc>
        <w:tc>
          <w:tcPr>
            <w:tcW w:w="2160" w:type="dxa"/>
            <w:vAlign w:val="bottom"/>
          </w:tcPr>
          <w:p w:rsidR="00765899" w:rsidRDefault="00765899">
            <w:pPr>
              <w:jc w:val="center"/>
              <w:rPr>
                <w:color w:val="000000"/>
                <w:sz w:val="18"/>
                <w:szCs w:val="18"/>
              </w:rPr>
            </w:pPr>
            <w:r>
              <w:rPr>
                <w:color w:val="000000"/>
                <w:sz w:val="18"/>
                <w:szCs w:val="18"/>
              </w:rPr>
              <w:t>Unknown.</w:t>
            </w:r>
          </w:p>
        </w:tc>
        <w:tc>
          <w:tcPr>
            <w:tcW w:w="4146" w:type="dxa"/>
            <w:vAlign w:val="center"/>
          </w:tcPr>
          <w:p w:rsidR="00765899" w:rsidRDefault="00291419" w:rsidP="00AE7C7E">
            <w:pPr>
              <w:rPr>
                <w:color w:val="000000"/>
                <w:sz w:val="18"/>
                <w:szCs w:val="18"/>
              </w:rPr>
            </w:pPr>
            <w:r>
              <w:rPr>
                <w:color w:val="000000"/>
                <w:sz w:val="18"/>
                <w:szCs w:val="18"/>
              </w:rPr>
              <w:t>H.R. 2429 (109</w:t>
            </w:r>
            <w:r w:rsidRPr="00291419">
              <w:rPr>
                <w:color w:val="000000"/>
                <w:sz w:val="18"/>
                <w:szCs w:val="18"/>
                <w:vertAlign w:val="superscript"/>
              </w:rPr>
              <w:t>th</w:t>
            </w:r>
            <w:r>
              <w:rPr>
                <w:color w:val="000000"/>
                <w:sz w:val="18"/>
                <w:szCs w:val="18"/>
              </w:rPr>
              <w:t xml:space="preserve"> </w:t>
            </w:r>
            <w:r w:rsidR="00765899">
              <w:rPr>
                <w:color w:val="000000"/>
                <w:sz w:val="18"/>
                <w:szCs w:val="18"/>
              </w:rPr>
              <w:t>Congress), the Fair Minimum Wage Act of 2005, raised the federal minimum wage from $5.15 to $7.25 per hour over a three-year period. CBO reported: “The increases in the minimum wage on the order of magnitude suggested in your letter could affect federal spending, but the [CBO] judges that those effects would be small. Moreover, whether those impacts would be an increase or decrease in spending is uncertain because the result would depend on the income and family characteristics of the affected individuals.” http://www.cbo.gov/sites/default/files/cbofiles/ftpdocs/77xx/doc7713/thomasdec29.pdf</w:t>
            </w:r>
          </w:p>
        </w:tc>
      </w:tr>
      <w:tr w:rsidR="00765899" w:rsidRPr="004943A4" w:rsidTr="00AE7C7E">
        <w:tc>
          <w:tcPr>
            <w:tcW w:w="720" w:type="dxa"/>
            <w:vAlign w:val="bottom"/>
          </w:tcPr>
          <w:p w:rsidR="00765899" w:rsidRDefault="00765899">
            <w:pPr>
              <w:jc w:val="right"/>
              <w:rPr>
                <w:color w:val="000000"/>
                <w:sz w:val="18"/>
                <w:szCs w:val="18"/>
              </w:rPr>
            </w:pPr>
            <w:r>
              <w:rPr>
                <w:color w:val="000000"/>
                <w:sz w:val="18"/>
                <w:szCs w:val="18"/>
              </w:rPr>
              <w:t>22</w:t>
            </w:r>
          </w:p>
        </w:tc>
        <w:tc>
          <w:tcPr>
            <w:tcW w:w="4050" w:type="dxa"/>
            <w:vAlign w:val="center"/>
          </w:tcPr>
          <w:p w:rsidR="00765899" w:rsidRDefault="00765899" w:rsidP="00AE7C7E">
            <w:pPr>
              <w:rPr>
                <w:color w:val="000000"/>
                <w:sz w:val="18"/>
                <w:szCs w:val="18"/>
              </w:rPr>
            </w:pPr>
            <w:r>
              <w:rPr>
                <w:color w:val="000000"/>
                <w:sz w:val="18"/>
                <w:szCs w:val="18"/>
              </w:rPr>
              <w:t>“ ... I agree ... that [the Earned Income Tax Credit] doesn’t do enough for single workers who don’t have kids. So let’s work together to strengthen the credit, reward work, and help more Americans get ahead.”</w:t>
            </w:r>
          </w:p>
        </w:tc>
        <w:tc>
          <w:tcPr>
            <w:tcW w:w="2160" w:type="dxa"/>
            <w:vAlign w:val="bottom"/>
          </w:tcPr>
          <w:p w:rsidR="00765899" w:rsidRDefault="00765899">
            <w:pPr>
              <w:jc w:val="center"/>
              <w:rPr>
                <w:color w:val="000000"/>
                <w:sz w:val="18"/>
                <w:szCs w:val="18"/>
              </w:rPr>
            </w:pPr>
            <w:r>
              <w:rPr>
                <w:color w:val="000000"/>
                <w:sz w:val="18"/>
                <w:szCs w:val="18"/>
              </w:rPr>
              <w:t>$0.414</w:t>
            </w:r>
          </w:p>
        </w:tc>
        <w:tc>
          <w:tcPr>
            <w:tcW w:w="4146" w:type="dxa"/>
            <w:vAlign w:val="center"/>
          </w:tcPr>
          <w:p w:rsidR="00765899" w:rsidRDefault="00765899" w:rsidP="004917D5">
            <w:pPr>
              <w:rPr>
                <w:color w:val="000000"/>
                <w:sz w:val="18"/>
                <w:szCs w:val="18"/>
              </w:rPr>
            </w:pPr>
            <w:r>
              <w:rPr>
                <w:color w:val="000000"/>
                <w:sz w:val="18"/>
                <w:szCs w:val="18"/>
              </w:rPr>
              <w:t xml:space="preserve">In the </w:t>
            </w:r>
            <w:r w:rsidRPr="00896900">
              <w:rPr>
                <w:i/>
                <w:color w:val="000000"/>
                <w:sz w:val="18"/>
                <w:szCs w:val="18"/>
              </w:rPr>
              <w:t>MSR</w:t>
            </w:r>
            <w:r>
              <w:rPr>
                <w:color w:val="000000"/>
                <w:sz w:val="18"/>
                <w:szCs w:val="18"/>
              </w:rPr>
              <w:t>, the Administration proposed to simplify the rules for claiming the Earned Income Tax Credit for workers without qualifying children. This would increase outlays by</w:t>
            </w:r>
            <w:r w:rsidR="004917D5">
              <w:rPr>
                <w:color w:val="000000"/>
                <w:sz w:val="18"/>
                <w:szCs w:val="18"/>
              </w:rPr>
              <w:t xml:space="preserve"> $2.071 billion over five years, owing to “refunable” payments.</w:t>
            </w:r>
            <w:r>
              <w:rPr>
                <w:color w:val="000000"/>
                <w:sz w:val="18"/>
                <w:szCs w:val="18"/>
              </w:rPr>
              <w:t xml:space="preserve"> http://www.whitehouse.gov/sites/default/files/omb/budget/fy2014/assets/14msr.pdf</w:t>
            </w:r>
          </w:p>
        </w:tc>
      </w:tr>
      <w:tr w:rsidR="00765899" w:rsidRPr="004943A4" w:rsidTr="00AE7C7E">
        <w:tc>
          <w:tcPr>
            <w:tcW w:w="720" w:type="dxa"/>
            <w:vAlign w:val="bottom"/>
          </w:tcPr>
          <w:p w:rsidR="00765899" w:rsidRDefault="00765899">
            <w:pPr>
              <w:jc w:val="right"/>
              <w:rPr>
                <w:color w:val="000000"/>
                <w:sz w:val="18"/>
                <w:szCs w:val="18"/>
              </w:rPr>
            </w:pPr>
            <w:r>
              <w:rPr>
                <w:color w:val="000000"/>
                <w:sz w:val="18"/>
                <w:szCs w:val="18"/>
              </w:rPr>
              <w:t>23</w:t>
            </w:r>
          </w:p>
        </w:tc>
        <w:tc>
          <w:tcPr>
            <w:tcW w:w="4050" w:type="dxa"/>
            <w:vAlign w:val="center"/>
          </w:tcPr>
          <w:p w:rsidR="00765899" w:rsidRDefault="00765899" w:rsidP="00AE7C7E">
            <w:pPr>
              <w:rPr>
                <w:color w:val="000000"/>
                <w:sz w:val="18"/>
                <w:szCs w:val="18"/>
              </w:rPr>
            </w:pPr>
            <w:r>
              <w:rPr>
                <w:color w:val="000000"/>
                <w:sz w:val="18"/>
                <w:szCs w:val="18"/>
              </w:rPr>
              <w:t>“I will direct the Treasury to create a new way for working Americans to start their own retirement savings: MyRA. It’s a new savings bond that encourages folks to build a nest egg. MyRA guarantees a decent return with no risk of losing what you put in.”</w:t>
            </w:r>
          </w:p>
        </w:tc>
        <w:tc>
          <w:tcPr>
            <w:tcW w:w="2160" w:type="dxa"/>
            <w:vAlign w:val="bottom"/>
          </w:tcPr>
          <w:p w:rsidR="00765899" w:rsidRDefault="00765899">
            <w:pPr>
              <w:jc w:val="center"/>
              <w:rPr>
                <w:color w:val="000000"/>
                <w:sz w:val="18"/>
                <w:szCs w:val="18"/>
              </w:rPr>
            </w:pPr>
            <w:r>
              <w:rPr>
                <w:color w:val="000000"/>
                <w:sz w:val="18"/>
                <w:szCs w:val="18"/>
              </w:rPr>
              <w:t>Unknown.</w:t>
            </w:r>
          </w:p>
        </w:tc>
        <w:tc>
          <w:tcPr>
            <w:tcW w:w="4146" w:type="dxa"/>
            <w:vAlign w:val="center"/>
          </w:tcPr>
          <w:p w:rsidR="00765899" w:rsidRDefault="00765899" w:rsidP="00896900">
            <w:pPr>
              <w:rPr>
                <w:color w:val="000000"/>
                <w:sz w:val="18"/>
                <w:szCs w:val="18"/>
              </w:rPr>
            </w:pPr>
            <w:r>
              <w:rPr>
                <w:color w:val="000000"/>
                <w:sz w:val="18"/>
                <w:szCs w:val="18"/>
              </w:rPr>
              <w:t xml:space="preserve">The </w:t>
            </w:r>
            <w:r w:rsidR="00896900">
              <w:rPr>
                <w:color w:val="000000"/>
                <w:sz w:val="18"/>
                <w:szCs w:val="18"/>
              </w:rPr>
              <w:t xml:space="preserve">White House </w:t>
            </w:r>
            <w:r w:rsidR="00896900" w:rsidRPr="00896900">
              <w:rPr>
                <w:i/>
                <w:color w:val="000000"/>
                <w:sz w:val="18"/>
                <w:szCs w:val="18"/>
              </w:rPr>
              <w:t>Fact Sheet</w:t>
            </w:r>
            <w:r w:rsidR="00896900">
              <w:rPr>
                <w:color w:val="000000"/>
                <w:sz w:val="18"/>
                <w:szCs w:val="18"/>
              </w:rPr>
              <w:t>:</w:t>
            </w:r>
            <w:r>
              <w:rPr>
                <w:color w:val="000000"/>
                <w:sz w:val="18"/>
                <w:szCs w:val="18"/>
              </w:rPr>
              <w:t xml:space="preserve"> “The President will take executive action to create a simple, safe and affordable ‘starter’ retirement savings account available through employers to help millions of Americans save for retirement. This savings account would be offered through a familiar Roth IRA account and, like savings bonds, would be backed by the U.S. government.” A cost estimate is </w:t>
            </w:r>
            <w:r w:rsidR="00242506">
              <w:rPr>
                <w:color w:val="000000"/>
                <w:sz w:val="18"/>
                <w:szCs w:val="18"/>
              </w:rPr>
              <w:t xml:space="preserve">not currently </w:t>
            </w:r>
            <w:r>
              <w:rPr>
                <w:color w:val="000000"/>
                <w:sz w:val="18"/>
                <w:szCs w:val="18"/>
              </w:rPr>
              <w:t>unavailable.</w:t>
            </w:r>
          </w:p>
        </w:tc>
      </w:tr>
      <w:tr w:rsidR="00765899" w:rsidRPr="004943A4" w:rsidTr="00AE7C7E">
        <w:tc>
          <w:tcPr>
            <w:tcW w:w="720" w:type="dxa"/>
            <w:vAlign w:val="bottom"/>
          </w:tcPr>
          <w:p w:rsidR="00765899" w:rsidRDefault="00765899">
            <w:pPr>
              <w:jc w:val="right"/>
              <w:rPr>
                <w:color w:val="000000"/>
                <w:sz w:val="18"/>
                <w:szCs w:val="18"/>
              </w:rPr>
            </w:pPr>
            <w:r>
              <w:rPr>
                <w:color w:val="000000"/>
                <w:sz w:val="18"/>
                <w:szCs w:val="18"/>
              </w:rPr>
              <w:t>24</w:t>
            </w:r>
          </w:p>
        </w:tc>
        <w:tc>
          <w:tcPr>
            <w:tcW w:w="4050" w:type="dxa"/>
            <w:vAlign w:val="center"/>
          </w:tcPr>
          <w:p w:rsidR="00765899" w:rsidRDefault="00765899" w:rsidP="00AE7C7E">
            <w:pPr>
              <w:rPr>
                <w:color w:val="000000"/>
                <w:sz w:val="18"/>
                <w:szCs w:val="18"/>
              </w:rPr>
            </w:pPr>
            <w:r>
              <w:rPr>
                <w:color w:val="000000"/>
                <w:sz w:val="18"/>
                <w:szCs w:val="18"/>
              </w:rPr>
              <w:t>“Offer every American access to an automatic IRA on the job ... .”</w:t>
            </w:r>
          </w:p>
        </w:tc>
        <w:tc>
          <w:tcPr>
            <w:tcW w:w="2160" w:type="dxa"/>
            <w:vAlign w:val="bottom"/>
          </w:tcPr>
          <w:p w:rsidR="00765899" w:rsidRDefault="00765899">
            <w:pPr>
              <w:jc w:val="center"/>
              <w:rPr>
                <w:color w:val="000000"/>
                <w:sz w:val="18"/>
                <w:szCs w:val="18"/>
              </w:rPr>
            </w:pPr>
            <w:r>
              <w:rPr>
                <w:color w:val="000000"/>
                <w:sz w:val="18"/>
                <w:szCs w:val="18"/>
              </w:rPr>
              <w:t>$0.152</w:t>
            </w:r>
          </w:p>
        </w:tc>
        <w:tc>
          <w:tcPr>
            <w:tcW w:w="4146" w:type="dxa"/>
            <w:vAlign w:val="center"/>
          </w:tcPr>
          <w:p w:rsidR="00765899" w:rsidRDefault="00765899" w:rsidP="00065DAC">
            <w:pPr>
              <w:rPr>
                <w:color w:val="000000"/>
                <w:sz w:val="18"/>
                <w:szCs w:val="18"/>
              </w:rPr>
            </w:pPr>
            <w:r>
              <w:rPr>
                <w:color w:val="000000"/>
                <w:sz w:val="18"/>
                <w:szCs w:val="18"/>
              </w:rPr>
              <w:t xml:space="preserve">The </w:t>
            </w:r>
            <w:r w:rsidRPr="00065DAC">
              <w:rPr>
                <w:i/>
                <w:color w:val="000000"/>
                <w:sz w:val="18"/>
                <w:szCs w:val="18"/>
              </w:rPr>
              <w:t>MSR</w:t>
            </w:r>
            <w:r>
              <w:rPr>
                <w:color w:val="000000"/>
                <w:sz w:val="18"/>
                <w:szCs w:val="18"/>
              </w:rPr>
              <w:t xml:space="preserve"> contains a proposal to provide for automatic enrollment in I</w:t>
            </w:r>
            <w:r w:rsidR="00065DAC">
              <w:rPr>
                <w:color w:val="000000"/>
                <w:sz w:val="18"/>
                <w:szCs w:val="18"/>
              </w:rPr>
              <w:t xml:space="preserve">ndividual Retirement </w:t>
            </w:r>
            <w:r w:rsidR="0066268E">
              <w:rPr>
                <w:color w:val="000000"/>
                <w:sz w:val="18"/>
                <w:szCs w:val="18"/>
              </w:rPr>
              <w:t>Accounts</w:t>
            </w:r>
            <w:r>
              <w:rPr>
                <w:color w:val="000000"/>
                <w:sz w:val="18"/>
                <w:szCs w:val="18"/>
              </w:rPr>
              <w:t>, including a small employer tax credit, and double the tax credit for small employer plan start-up costs. In addition to a revenue effect, it would increase outlays by $762 million over five years.</w:t>
            </w:r>
          </w:p>
        </w:tc>
      </w:tr>
      <w:tr w:rsidR="00765899" w:rsidRPr="004943A4" w:rsidTr="00AE7C7E">
        <w:tc>
          <w:tcPr>
            <w:tcW w:w="720" w:type="dxa"/>
            <w:vAlign w:val="bottom"/>
          </w:tcPr>
          <w:p w:rsidR="00765899" w:rsidRDefault="00765899">
            <w:pPr>
              <w:jc w:val="right"/>
              <w:rPr>
                <w:color w:val="000000"/>
                <w:sz w:val="18"/>
                <w:szCs w:val="18"/>
              </w:rPr>
            </w:pPr>
            <w:r>
              <w:rPr>
                <w:color w:val="000000"/>
                <w:sz w:val="18"/>
                <w:szCs w:val="18"/>
              </w:rPr>
              <w:t>25</w:t>
            </w:r>
          </w:p>
        </w:tc>
        <w:tc>
          <w:tcPr>
            <w:tcW w:w="4050" w:type="dxa"/>
            <w:vAlign w:val="center"/>
          </w:tcPr>
          <w:p w:rsidR="00765899" w:rsidRDefault="00765899" w:rsidP="00AE7C7E">
            <w:pPr>
              <w:rPr>
                <w:color w:val="000000"/>
                <w:sz w:val="18"/>
                <w:szCs w:val="18"/>
              </w:rPr>
            </w:pPr>
            <w:r>
              <w:rPr>
                <w:color w:val="000000"/>
                <w:sz w:val="18"/>
                <w:szCs w:val="18"/>
              </w:rPr>
              <w:t>“[S]end me legislation that protects taxpayers from footing the bill for a housing crisis ever again, and keeps the dream of homeownership alive for future generations of Americans.”</w:t>
            </w:r>
          </w:p>
        </w:tc>
        <w:tc>
          <w:tcPr>
            <w:tcW w:w="2160" w:type="dxa"/>
            <w:vAlign w:val="bottom"/>
          </w:tcPr>
          <w:p w:rsidR="00765899" w:rsidRPr="0066268E" w:rsidRDefault="0066268E">
            <w:pPr>
              <w:jc w:val="center"/>
              <w:rPr>
                <w:color w:val="FF0000"/>
                <w:sz w:val="18"/>
                <w:szCs w:val="18"/>
              </w:rPr>
            </w:pPr>
            <w:r w:rsidRPr="0066268E">
              <w:rPr>
                <w:color w:val="FF0000"/>
                <w:sz w:val="18"/>
                <w:szCs w:val="18"/>
              </w:rPr>
              <w:t>(</w:t>
            </w:r>
            <w:r w:rsidR="00765899" w:rsidRPr="0066268E">
              <w:rPr>
                <w:color w:val="FF0000"/>
                <w:sz w:val="18"/>
                <w:szCs w:val="18"/>
              </w:rPr>
              <w:t>$0.103</w:t>
            </w:r>
            <w:r w:rsidRPr="0066268E">
              <w:rPr>
                <w:color w:val="FF0000"/>
                <w:sz w:val="18"/>
                <w:szCs w:val="18"/>
              </w:rPr>
              <w:t>)</w:t>
            </w:r>
          </w:p>
        </w:tc>
        <w:tc>
          <w:tcPr>
            <w:tcW w:w="4146" w:type="dxa"/>
            <w:vAlign w:val="center"/>
          </w:tcPr>
          <w:p w:rsidR="00765899" w:rsidRDefault="00765899" w:rsidP="00B52199">
            <w:pPr>
              <w:rPr>
                <w:color w:val="000000"/>
                <w:sz w:val="18"/>
                <w:szCs w:val="18"/>
              </w:rPr>
            </w:pPr>
            <w:r>
              <w:rPr>
                <w:color w:val="000000"/>
                <w:sz w:val="18"/>
                <w:szCs w:val="18"/>
              </w:rPr>
              <w:t>CBO cost estimate for S. 1376 (113</w:t>
            </w:r>
            <w:r w:rsidRPr="00291419">
              <w:rPr>
                <w:color w:val="000000"/>
                <w:sz w:val="18"/>
                <w:szCs w:val="18"/>
                <w:vertAlign w:val="superscript"/>
              </w:rPr>
              <w:t>th</w:t>
            </w:r>
            <w:r>
              <w:rPr>
                <w:color w:val="000000"/>
                <w:sz w:val="18"/>
                <w:szCs w:val="18"/>
              </w:rPr>
              <w:t xml:space="preserve"> Congress), the FHA Solvency Act. The proposal would require the F</w:t>
            </w:r>
            <w:r w:rsidR="00B52199">
              <w:rPr>
                <w:color w:val="000000"/>
                <w:sz w:val="18"/>
                <w:szCs w:val="18"/>
              </w:rPr>
              <w:t>ederal Housing Administration</w:t>
            </w:r>
            <w:r>
              <w:rPr>
                <w:color w:val="000000"/>
                <w:sz w:val="18"/>
                <w:szCs w:val="18"/>
              </w:rPr>
              <w:t xml:space="preserve"> to increase its capital reserve ratio to cover potential losses over the next ten years. CBO’s estimate assumes the FHA would be required to charge additional mortgage insurance premium fees </w:t>
            </w:r>
            <w:r w:rsidR="0066268E">
              <w:rPr>
                <w:color w:val="000000"/>
                <w:sz w:val="18"/>
                <w:szCs w:val="18"/>
              </w:rPr>
              <w:t>beginning</w:t>
            </w:r>
            <w:r>
              <w:rPr>
                <w:color w:val="000000"/>
                <w:sz w:val="18"/>
                <w:szCs w:val="18"/>
              </w:rPr>
              <w:t xml:space="preserve"> in 2018. These are recorded in the budget as offsetting receipts. http://www.cbo.gov/sites/default/files/cbofiles/attachments/s1376_0.pdf</w:t>
            </w:r>
          </w:p>
        </w:tc>
      </w:tr>
      <w:tr w:rsidR="00765899" w:rsidRPr="004943A4" w:rsidTr="00AE7C7E">
        <w:tc>
          <w:tcPr>
            <w:tcW w:w="720" w:type="dxa"/>
            <w:vAlign w:val="bottom"/>
          </w:tcPr>
          <w:p w:rsidR="00765899" w:rsidRDefault="00765899">
            <w:pPr>
              <w:jc w:val="right"/>
              <w:rPr>
                <w:color w:val="000000"/>
                <w:sz w:val="18"/>
                <w:szCs w:val="18"/>
              </w:rPr>
            </w:pPr>
            <w:r>
              <w:rPr>
                <w:color w:val="000000"/>
                <w:sz w:val="18"/>
                <w:szCs w:val="18"/>
              </w:rPr>
              <w:t>26</w:t>
            </w:r>
          </w:p>
        </w:tc>
        <w:tc>
          <w:tcPr>
            <w:tcW w:w="4050" w:type="dxa"/>
            <w:vAlign w:val="center"/>
          </w:tcPr>
          <w:p w:rsidR="00765899" w:rsidRDefault="00765899" w:rsidP="00AE7C7E">
            <w:pPr>
              <w:rPr>
                <w:color w:val="000000"/>
                <w:sz w:val="18"/>
                <w:szCs w:val="18"/>
              </w:rPr>
            </w:pPr>
            <w:r>
              <w:rPr>
                <w:color w:val="000000"/>
                <w:sz w:val="18"/>
                <w:szCs w:val="18"/>
              </w:rPr>
              <w:t>“ ... [C]conservative Republicans and liberal Democrats are working together to strengthen [the Voting Rights Act]; and the bipartisan commission I appointed last year has offered reforms so that no one has to wait more than a half hour to vote. Let’s support these efforts.”</w:t>
            </w:r>
          </w:p>
        </w:tc>
        <w:tc>
          <w:tcPr>
            <w:tcW w:w="2160" w:type="dxa"/>
            <w:vAlign w:val="bottom"/>
          </w:tcPr>
          <w:p w:rsidR="00765899" w:rsidRDefault="00765899">
            <w:pPr>
              <w:jc w:val="center"/>
              <w:rPr>
                <w:color w:val="000000"/>
                <w:sz w:val="18"/>
                <w:szCs w:val="18"/>
              </w:rPr>
            </w:pPr>
            <w:r>
              <w:rPr>
                <w:color w:val="000000"/>
                <w:sz w:val="18"/>
                <w:szCs w:val="18"/>
              </w:rPr>
              <w:t>$0.262</w:t>
            </w:r>
          </w:p>
        </w:tc>
        <w:tc>
          <w:tcPr>
            <w:tcW w:w="4146" w:type="dxa"/>
            <w:vAlign w:val="center"/>
          </w:tcPr>
          <w:p w:rsidR="00765899" w:rsidRDefault="00765899" w:rsidP="00AE7C7E">
            <w:pPr>
              <w:rPr>
                <w:color w:val="000000"/>
                <w:sz w:val="18"/>
                <w:szCs w:val="18"/>
              </w:rPr>
            </w:pPr>
            <w:r>
              <w:rPr>
                <w:color w:val="000000"/>
                <w:sz w:val="18"/>
                <w:szCs w:val="18"/>
              </w:rPr>
              <w:t>H.R. 12 (113</w:t>
            </w:r>
            <w:r w:rsidRPr="00291419">
              <w:rPr>
                <w:color w:val="000000"/>
                <w:sz w:val="18"/>
                <w:szCs w:val="18"/>
                <w:vertAlign w:val="superscript"/>
              </w:rPr>
              <w:t>th</w:t>
            </w:r>
            <w:r w:rsidR="00291419">
              <w:rPr>
                <w:color w:val="000000"/>
                <w:sz w:val="18"/>
                <w:szCs w:val="18"/>
              </w:rPr>
              <w:t xml:space="preserve"> </w:t>
            </w:r>
            <w:r>
              <w:rPr>
                <w:color w:val="000000"/>
                <w:sz w:val="18"/>
                <w:szCs w:val="18"/>
              </w:rPr>
              <w:t>Congress), the Voter Empowerment Act of 2013, would mandate the availability of paper ballots at polling places when votes are not able to be cast within 30 minutes using an electronic voting machine. The text authorizes $1.31 billion over five years.</w:t>
            </w:r>
          </w:p>
        </w:tc>
      </w:tr>
      <w:tr w:rsidR="00765899" w:rsidRPr="004943A4" w:rsidTr="00AE7C7E">
        <w:tc>
          <w:tcPr>
            <w:tcW w:w="720" w:type="dxa"/>
            <w:vAlign w:val="bottom"/>
          </w:tcPr>
          <w:p w:rsidR="00765899" w:rsidRDefault="00765899">
            <w:pPr>
              <w:jc w:val="right"/>
              <w:rPr>
                <w:color w:val="000000"/>
                <w:sz w:val="18"/>
                <w:szCs w:val="18"/>
              </w:rPr>
            </w:pPr>
            <w:r>
              <w:rPr>
                <w:color w:val="000000"/>
                <w:sz w:val="18"/>
                <w:szCs w:val="18"/>
              </w:rPr>
              <w:t>27</w:t>
            </w:r>
          </w:p>
        </w:tc>
        <w:tc>
          <w:tcPr>
            <w:tcW w:w="4050" w:type="dxa"/>
            <w:vAlign w:val="center"/>
          </w:tcPr>
          <w:p w:rsidR="00765899" w:rsidRDefault="00765899" w:rsidP="00AE7C7E">
            <w:pPr>
              <w:rPr>
                <w:color w:val="000000"/>
                <w:sz w:val="18"/>
                <w:szCs w:val="18"/>
              </w:rPr>
            </w:pPr>
            <w:r>
              <w:rPr>
                <w:color w:val="000000"/>
                <w:sz w:val="18"/>
                <w:szCs w:val="18"/>
              </w:rPr>
              <w:t>“Here at home, we’ll keep strengthening our defenses, and combat new threats like cyberattacks.”</w:t>
            </w:r>
          </w:p>
        </w:tc>
        <w:tc>
          <w:tcPr>
            <w:tcW w:w="2160" w:type="dxa"/>
            <w:vAlign w:val="bottom"/>
          </w:tcPr>
          <w:p w:rsidR="00765899" w:rsidRDefault="00765899">
            <w:pPr>
              <w:jc w:val="center"/>
              <w:rPr>
                <w:color w:val="000000"/>
                <w:sz w:val="18"/>
                <w:szCs w:val="18"/>
              </w:rPr>
            </w:pPr>
            <w:r>
              <w:rPr>
                <w:color w:val="000000"/>
                <w:sz w:val="18"/>
                <w:szCs w:val="18"/>
              </w:rPr>
              <w:t>Unknown.</w:t>
            </w:r>
          </w:p>
        </w:tc>
        <w:tc>
          <w:tcPr>
            <w:tcW w:w="4146" w:type="dxa"/>
            <w:vAlign w:val="center"/>
          </w:tcPr>
          <w:p w:rsidR="00765899" w:rsidRDefault="00765899" w:rsidP="00B52199">
            <w:pPr>
              <w:rPr>
                <w:color w:val="000000"/>
                <w:sz w:val="18"/>
                <w:szCs w:val="18"/>
              </w:rPr>
            </w:pPr>
            <w:r>
              <w:rPr>
                <w:color w:val="000000"/>
                <w:sz w:val="18"/>
                <w:szCs w:val="18"/>
              </w:rPr>
              <w:t>Several bills are current</w:t>
            </w:r>
            <w:r w:rsidR="00291419">
              <w:rPr>
                <w:color w:val="000000"/>
                <w:sz w:val="18"/>
                <w:szCs w:val="18"/>
              </w:rPr>
              <w:t>ly under consideration in both C</w:t>
            </w:r>
            <w:r>
              <w:rPr>
                <w:color w:val="000000"/>
                <w:sz w:val="18"/>
                <w:szCs w:val="18"/>
              </w:rPr>
              <w:t xml:space="preserve">hambers, but </w:t>
            </w:r>
            <w:r w:rsidR="00B52199">
              <w:rPr>
                <w:color w:val="000000"/>
                <w:sz w:val="18"/>
                <w:szCs w:val="18"/>
              </w:rPr>
              <w:t>it is unclear whether the President supports these specific proposals</w:t>
            </w:r>
            <w:r>
              <w:rPr>
                <w:color w:val="000000"/>
                <w:sz w:val="18"/>
                <w:szCs w:val="18"/>
              </w:rPr>
              <w:t xml:space="preserve">. CBO scored two </w:t>
            </w:r>
            <w:r>
              <w:rPr>
                <w:color w:val="000000"/>
                <w:sz w:val="18"/>
                <w:szCs w:val="18"/>
              </w:rPr>
              <w:lastRenderedPageBreak/>
              <w:t xml:space="preserve">related measures: H.R. 756, the Cybersecurity Enhancement Act of 2013, would </w:t>
            </w:r>
            <w:r w:rsidR="0066268E">
              <w:rPr>
                <w:color w:val="000000"/>
                <w:sz w:val="18"/>
                <w:szCs w:val="18"/>
              </w:rPr>
              <w:t>authorize</w:t>
            </w:r>
            <w:r>
              <w:rPr>
                <w:color w:val="000000"/>
                <w:sz w:val="18"/>
                <w:szCs w:val="18"/>
              </w:rPr>
              <w:t xml:space="preserve"> $101 million in annual spending to enhance existing computer and network security, manage digitized personal information, and establish a task force to recommend research and development activities to Congress. S. 1353, the Cybersecurity Act of 2013, would seek to improve public-private cooperation on cybersecurity at a cost of $11 million each year. http://www.cbo.gov/sites/default/files/cbofiles/attachments/hr756.pdf http://www.cbo.gov/sites/default/files/cbofiles/attachments/s1353.pdf</w:t>
            </w:r>
          </w:p>
        </w:tc>
      </w:tr>
      <w:tr w:rsidR="00765899" w:rsidRPr="004943A4" w:rsidTr="00AE7C7E">
        <w:tc>
          <w:tcPr>
            <w:tcW w:w="720" w:type="dxa"/>
            <w:vAlign w:val="bottom"/>
          </w:tcPr>
          <w:p w:rsidR="00765899" w:rsidRDefault="00765899">
            <w:pPr>
              <w:jc w:val="right"/>
              <w:rPr>
                <w:color w:val="000000"/>
                <w:sz w:val="18"/>
                <w:szCs w:val="18"/>
              </w:rPr>
            </w:pPr>
            <w:r>
              <w:rPr>
                <w:color w:val="000000"/>
                <w:sz w:val="18"/>
                <w:szCs w:val="18"/>
              </w:rPr>
              <w:lastRenderedPageBreak/>
              <w:t>28</w:t>
            </w:r>
          </w:p>
        </w:tc>
        <w:tc>
          <w:tcPr>
            <w:tcW w:w="4050" w:type="dxa"/>
            <w:vAlign w:val="center"/>
          </w:tcPr>
          <w:p w:rsidR="00765899" w:rsidRDefault="00765899" w:rsidP="00AE7C7E">
            <w:pPr>
              <w:rPr>
                <w:color w:val="000000"/>
                <w:sz w:val="18"/>
                <w:szCs w:val="18"/>
              </w:rPr>
            </w:pPr>
            <w:r>
              <w:rPr>
                <w:color w:val="000000"/>
                <w:sz w:val="18"/>
                <w:szCs w:val="18"/>
              </w:rPr>
              <w:t>“That’s why, working with this Congress, I will reform our surveillance programs – because the vital work of our intelligence community depends on public confidence, here and abroad, that the privacy of ordinary people is not being violated. “</w:t>
            </w:r>
          </w:p>
        </w:tc>
        <w:tc>
          <w:tcPr>
            <w:tcW w:w="2160" w:type="dxa"/>
            <w:vAlign w:val="bottom"/>
          </w:tcPr>
          <w:p w:rsidR="00765899" w:rsidRDefault="00765899">
            <w:pPr>
              <w:jc w:val="center"/>
              <w:rPr>
                <w:color w:val="000000"/>
                <w:sz w:val="18"/>
                <w:szCs w:val="18"/>
              </w:rPr>
            </w:pPr>
            <w:r>
              <w:rPr>
                <w:color w:val="000000"/>
                <w:sz w:val="18"/>
                <w:szCs w:val="18"/>
              </w:rPr>
              <w:t>Unknown.</w:t>
            </w:r>
          </w:p>
        </w:tc>
        <w:tc>
          <w:tcPr>
            <w:tcW w:w="4146" w:type="dxa"/>
            <w:vAlign w:val="center"/>
          </w:tcPr>
          <w:p w:rsidR="00765899" w:rsidRDefault="00B52199" w:rsidP="00B52199">
            <w:pPr>
              <w:rPr>
                <w:color w:val="000000"/>
                <w:sz w:val="18"/>
                <w:szCs w:val="18"/>
              </w:rPr>
            </w:pPr>
            <w:r>
              <w:rPr>
                <w:color w:val="000000"/>
                <w:sz w:val="18"/>
                <w:szCs w:val="18"/>
              </w:rPr>
              <w:t>In the 109</w:t>
            </w:r>
            <w:r w:rsidRPr="00B52199">
              <w:rPr>
                <w:color w:val="000000"/>
                <w:sz w:val="18"/>
                <w:szCs w:val="18"/>
                <w:vertAlign w:val="superscript"/>
              </w:rPr>
              <w:t>th</w:t>
            </w:r>
            <w:r>
              <w:rPr>
                <w:color w:val="000000"/>
                <w:sz w:val="18"/>
                <w:szCs w:val="18"/>
              </w:rPr>
              <w:t xml:space="preserve"> Congress, CBO analyzed a related bill, </w:t>
            </w:r>
            <w:r w:rsidR="00765899">
              <w:rPr>
                <w:color w:val="000000"/>
                <w:sz w:val="18"/>
                <w:szCs w:val="18"/>
              </w:rPr>
              <w:t>S. 2453, the National Security Surveillance Act of 2006</w:t>
            </w:r>
            <w:r>
              <w:rPr>
                <w:color w:val="000000"/>
                <w:sz w:val="18"/>
                <w:szCs w:val="18"/>
              </w:rPr>
              <w:t>,</w:t>
            </w:r>
            <w:r w:rsidR="00765899">
              <w:rPr>
                <w:color w:val="000000"/>
                <w:sz w:val="18"/>
                <w:szCs w:val="18"/>
              </w:rPr>
              <w:t xml:space="preserve"> and reported </w:t>
            </w:r>
            <w:r>
              <w:rPr>
                <w:color w:val="000000"/>
                <w:sz w:val="18"/>
                <w:szCs w:val="18"/>
              </w:rPr>
              <w:t>that it</w:t>
            </w:r>
            <w:r w:rsidR="00765899">
              <w:rPr>
                <w:color w:val="000000"/>
                <w:sz w:val="18"/>
                <w:szCs w:val="18"/>
              </w:rPr>
              <w:t xml:space="preserve"> </w:t>
            </w:r>
            <w:r>
              <w:rPr>
                <w:color w:val="000000"/>
                <w:sz w:val="18"/>
                <w:szCs w:val="18"/>
              </w:rPr>
              <w:t>“</w:t>
            </w:r>
            <w:r w:rsidR="00765899">
              <w:rPr>
                <w:color w:val="000000"/>
                <w:sz w:val="18"/>
                <w:szCs w:val="18"/>
              </w:rPr>
              <w:t xml:space="preserve">cannot estimate the budgetary impact of implementing S. 2453 because we cannot predict how the volume or type of surveillance would change under this legislation. Moreover, information regarding surveillance technologies and their </w:t>
            </w:r>
            <w:r>
              <w:rPr>
                <w:color w:val="000000"/>
                <w:sz w:val="18"/>
                <w:szCs w:val="18"/>
              </w:rPr>
              <w:t>a</w:t>
            </w:r>
            <w:r w:rsidR="00765899">
              <w:rPr>
                <w:color w:val="000000"/>
                <w:sz w:val="18"/>
                <w:szCs w:val="18"/>
              </w:rPr>
              <w:t>ssociated costs are classified. Any changes in federal spending for surveillance activities under the legislation would be subject to the appropriation of the necessary funds.” http://www.cbo.gov/sites/default/files/cbofiles/ftpdocs/76xx/doc7625/s2353rev.pdf</w:t>
            </w:r>
          </w:p>
        </w:tc>
      </w:tr>
      <w:tr w:rsidR="00765899" w:rsidRPr="004943A4" w:rsidTr="00AE7C7E">
        <w:tc>
          <w:tcPr>
            <w:tcW w:w="720" w:type="dxa"/>
            <w:vAlign w:val="bottom"/>
          </w:tcPr>
          <w:p w:rsidR="00765899" w:rsidRDefault="00765899">
            <w:pPr>
              <w:jc w:val="right"/>
              <w:rPr>
                <w:color w:val="000000"/>
                <w:sz w:val="18"/>
                <w:szCs w:val="18"/>
              </w:rPr>
            </w:pPr>
            <w:r>
              <w:rPr>
                <w:color w:val="000000"/>
                <w:sz w:val="18"/>
                <w:szCs w:val="18"/>
              </w:rPr>
              <w:t>29</w:t>
            </w:r>
          </w:p>
        </w:tc>
        <w:tc>
          <w:tcPr>
            <w:tcW w:w="4050" w:type="dxa"/>
            <w:vAlign w:val="center"/>
          </w:tcPr>
          <w:p w:rsidR="00765899" w:rsidRDefault="00765899" w:rsidP="00AE7C7E">
            <w:pPr>
              <w:rPr>
                <w:color w:val="000000"/>
                <w:sz w:val="18"/>
                <w:szCs w:val="18"/>
              </w:rPr>
            </w:pPr>
            <w:r>
              <w:rPr>
                <w:color w:val="000000"/>
                <w:sz w:val="18"/>
                <w:szCs w:val="18"/>
              </w:rPr>
              <w:t>“ ... [T]his needs to be the year Congress lifts the remaining restrictions on detainee transfers and we close the prison at Guantanamo Bay ... .”</w:t>
            </w:r>
          </w:p>
        </w:tc>
        <w:tc>
          <w:tcPr>
            <w:tcW w:w="2160" w:type="dxa"/>
            <w:vAlign w:val="bottom"/>
          </w:tcPr>
          <w:p w:rsidR="00765899" w:rsidRDefault="00765899">
            <w:pPr>
              <w:jc w:val="center"/>
              <w:rPr>
                <w:color w:val="000000"/>
                <w:sz w:val="18"/>
                <w:szCs w:val="18"/>
              </w:rPr>
            </w:pPr>
            <w:r>
              <w:rPr>
                <w:color w:val="000000"/>
                <w:sz w:val="18"/>
                <w:szCs w:val="18"/>
              </w:rPr>
              <w:t>Unknown.</w:t>
            </w:r>
          </w:p>
        </w:tc>
        <w:tc>
          <w:tcPr>
            <w:tcW w:w="4146" w:type="dxa"/>
            <w:vAlign w:val="center"/>
          </w:tcPr>
          <w:p w:rsidR="00765899" w:rsidRDefault="00765899" w:rsidP="0066268E">
            <w:pPr>
              <w:rPr>
                <w:color w:val="000000"/>
                <w:sz w:val="18"/>
                <w:szCs w:val="18"/>
              </w:rPr>
            </w:pPr>
            <w:r>
              <w:rPr>
                <w:color w:val="000000"/>
                <w:sz w:val="18"/>
                <w:szCs w:val="18"/>
              </w:rPr>
              <w:t>There may be administrative costs related to the transfer of the detainees and wind-down of the facility. A</w:t>
            </w:r>
            <w:r w:rsidR="0066268E">
              <w:rPr>
                <w:color w:val="000000"/>
                <w:sz w:val="18"/>
                <w:szCs w:val="18"/>
              </w:rPr>
              <w:t xml:space="preserve"> possible</w:t>
            </w:r>
            <w:r>
              <w:rPr>
                <w:color w:val="000000"/>
                <w:sz w:val="18"/>
                <w:szCs w:val="18"/>
              </w:rPr>
              <w:t xml:space="preserve"> estimate is unavailable.</w:t>
            </w:r>
          </w:p>
        </w:tc>
      </w:tr>
    </w:tbl>
    <w:p w:rsidR="0048279E" w:rsidRDefault="0048279E"/>
    <w:p w:rsidR="007120AF" w:rsidRDefault="007120AF"/>
    <w:p w:rsidR="00262DE9" w:rsidRDefault="00262DE9"/>
    <w:p w:rsidR="00262DE9" w:rsidRDefault="00262DE9"/>
    <w:p w:rsidR="00262DE9" w:rsidRDefault="00262DE9"/>
    <w:p w:rsidR="00262DE9" w:rsidRDefault="00262DE9"/>
    <w:tbl>
      <w:tblPr>
        <w:tblW w:w="11070" w:type="dxa"/>
        <w:tblInd w:w="-870" w:type="dxa"/>
        <w:tblBorders>
          <w:top w:val="double" w:sz="4" w:space="0" w:color="auto"/>
          <w:left w:val="double" w:sz="4" w:space="0" w:color="auto"/>
          <w:bottom w:val="double" w:sz="4" w:space="0" w:color="auto"/>
          <w:right w:val="double" w:sz="4" w:space="0" w:color="auto"/>
        </w:tblBorders>
        <w:tblLayout w:type="fixed"/>
        <w:tblCellMar>
          <w:left w:w="30" w:type="dxa"/>
          <w:right w:w="30" w:type="dxa"/>
        </w:tblCellMar>
        <w:tblLook w:val="0000"/>
      </w:tblPr>
      <w:tblGrid>
        <w:gridCol w:w="3150"/>
        <w:gridCol w:w="2790"/>
        <w:gridCol w:w="2122"/>
        <w:gridCol w:w="1504"/>
        <w:gridCol w:w="1504"/>
      </w:tblGrid>
      <w:tr w:rsidR="000C642B" w:rsidTr="004522F2">
        <w:trPr>
          <w:trHeight w:val="998"/>
        </w:trPr>
        <w:tc>
          <w:tcPr>
            <w:tcW w:w="3150" w:type="dxa"/>
            <w:tcBorders>
              <w:top w:val="double" w:sz="4" w:space="0" w:color="auto"/>
              <w:bottom w:val="single" w:sz="6" w:space="0" w:color="auto"/>
              <w:right w:val="single" w:sz="6" w:space="0" w:color="auto"/>
            </w:tcBorders>
          </w:tcPr>
          <w:p w:rsidR="000C642B" w:rsidRDefault="000C642B" w:rsidP="00254257">
            <w:pPr>
              <w:ind w:left="1050"/>
              <w:jc w:val="right"/>
              <w:rPr>
                <w:b/>
                <w:snapToGrid w:val="0"/>
                <w:color w:val="000000"/>
              </w:rPr>
            </w:pPr>
          </w:p>
        </w:tc>
        <w:tc>
          <w:tcPr>
            <w:tcW w:w="2790" w:type="dxa"/>
            <w:tcBorders>
              <w:top w:val="double" w:sz="4" w:space="0" w:color="auto"/>
              <w:left w:val="single" w:sz="6" w:space="0" w:color="auto"/>
              <w:bottom w:val="single" w:sz="6" w:space="0" w:color="auto"/>
              <w:right w:val="single" w:sz="6" w:space="0" w:color="auto"/>
            </w:tcBorders>
          </w:tcPr>
          <w:p w:rsidR="000C642B" w:rsidRDefault="000C642B" w:rsidP="00254257">
            <w:pPr>
              <w:jc w:val="center"/>
              <w:rPr>
                <w:b/>
                <w:snapToGrid w:val="0"/>
                <w:color w:val="000000"/>
              </w:rPr>
            </w:pPr>
            <w:r>
              <w:rPr>
                <w:b/>
                <w:snapToGrid w:val="0"/>
                <w:color w:val="000000"/>
              </w:rPr>
              <w:t>Non-Defense Discretionary Spending</w:t>
            </w:r>
          </w:p>
          <w:p w:rsidR="000C642B" w:rsidRDefault="000C642B" w:rsidP="00254257">
            <w:pPr>
              <w:jc w:val="center"/>
              <w:rPr>
                <w:b/>
                <w:snapToGrid w:val="0"/>
                <w:color w:val="000000"/>
              </w:rPr>
            </w:pPr>
            <w:r>
              <w:rPr>
                <w:b/>
                <w:snapToGrid w:val="0"/>
                <w:color w:val="000000"/>
              </w:rPr>
              <w:t>(in billions)</w:t>
            </w:r>
          </w:p>
        </w:tc>
        <w:tc>
          <w:tcPr>
            <w:tcW w:w="2122" w:type="dxa"/>
            <w:tcBorders>
              <w:top w:val="double" w:sz="4" w:space="0" w:color="auto"/>
              <w:left w:val="single" w:sz="6" w:space="0" w:color="auto"/>
              <w:bottom w:val="single" w:sz="6" w:space="0" w:color="auto"/>
            </w:tcBorders>
          </w:tcPr>
          <w:p w:rsidR="000C642B" w:rsidRDefault="000C642B" w:rsidP="00254257">
            <w:pPr>
              <w:jc w:val="center"/>
              <w:rPr>
                <w:b/>
                <w:snapToGrid w:val="0"/>
                <w:color w:val="000000"/>
              </w:rPr>
            </w:pPr>
            <w:r>
              <w:rPr>
                <w:b/>
                <w:snapToGrid w:val="0"/>
                <w:color w:val="000000"/>
              </w:rPr>
              <w:t xml:space="preserve">Defense/Homeland Security Spending (in billions)   </w:t>
            </w:r>
          </w:p>
        </w:tc>
        <w:tc>
          <w:tcPr>
            <w:tcW w:w="1504" w:type="dxa"/>
            <w:tcBorders>
              <w:top w:val="double" w:sz="4" w:space="0" w:color="auto"/>
              <w:left w:val="single" w:sz="6" w:space="0" w:color="auto"/>
              <w:bottom w:val="single" w:sz="6" w:space="0" w:color="auto"/>
            </w:tcBorders>
          </w:tcPr>
          <w:p w:rsidR="000C642B" w:rsidRDefault="000C642B" w:rsidP="00254257">
            <w:pPr>
              <w:jc w:val="center"/>
              <w:rPr>
                <w:b/>
                <w:snapToGrid w:val="0"/>
                <w:color w:val="000000"/>
              </w:rPr>
            </w:pPr>
            <w:r>
              <w:rPr>
                <w:b/>
                <w:snapToGrid w:val="0"/>
                <w:color w:val="000000"/>
              </w:rPr>
              <w:t>Mandatory Spending (in billions)</w:t>
            </w:r>
          </w:p>
        </w:tc>
        <w:tc>
          <w:tcPr>
            <w:tcW w:w="1504" w:type="dxa"/>
            <w:tcBorders>
              <w:top w:val="double" w:sz="4" w:space="0" w:color="auto"/>
              <w:left w:val="single" w:sz="6" w:space="0" w:color="auto"/>
              <w:bottom w:val="single" w:sz="6" w:space="0" w:color="auto"/>
            </w:tcBorders>
          </w:tcPr>
          <w:p w:rsidR="000C642B" w:rsidRDefault="007B1D7F" w:rsidP="00254257">
            <w:pPr>
              <w:jc w:val="center"/>
              <w:rPr>
                <w:b/>
                <w:snapToGrid w:val="0"/>
                <w:color w:val="000000"/>
              </w:rPr>
            </w:pPr>
            <w:r>
              <w:rPr>
                <w:b/>
                <w:snapToGrid w:val="0"/>
                <w:color w:val="000000"/>
              </w:rPr>
              <w:t>Sequester Contingency</w:t>
            </w:r>
          </w:p>
        </w:tc>
      </w:tr>
      <w:tr w:rsidR="000C642B" w:rsidTr="004522F2">
        <w:trPr>
          <w:trHeight w:val="250"/>
        </w:trPr>
        <w:tc>
          <w:tcPr>
            <w:tcW w:w="3150" w:type="dxa"/>
            <w:tcBorders>
              <w:top w:val="single" w:sz="6" w:space="0" w:color="auto"/>
              <w:bottom w:val="single" w:sz="6" w:space="0" w:color="auto"/>
              <w:right w:val="single" w:sz="6" w:space="0" w:color="auto"/>
            </w:tcBorders>
          </w:tcPr>
          <w:p w:rsidR="000C642B" w:rsidRDefault="000C642B" w:rsidP="00254257">
            <w:pPr>
              <w:rPr>
                <w:snapToGrid w:val="0"/>
                <w:color w:val="000000"/>
              </w:rPr>
            </w:pPr>
            <w:r>
              <w:rPr>
                <w:snapToGrid w:val="0"/>
                <w:color w:val="000000"/>
              </w:rPr>
              <w:t>President Clinton</w:t>
            </w:r>
            <w:r w:rsidR="00765899">
              <w:rPr>
                <w:snapToGrid w:val="0"/>
                <w:color w:val="000000"/>
              </w:rPr>
              <w:t>’</w:t>
            </w:r>
            <w:r>
              <w:rPr>
                <w:snapToGrid w:val="0"/>
                <w:color w:val="000000"/>
              </w:rPr>
              <w:t>s 1999 SotU</w:t>
            </w:r>
          </w:p>
        </w:tc>
        <w:tc>
          <w:tcPr>
            <w:tcW w:w="2790" w:type="dxa"/>
            <w:tcBorders>
              <w:top w:val="single" w:sz="6" w:space="0" w:color="auto"/>
              <w:left w:val="single" w:sz="6" w:space="0" w:color="auto"/>
              <w:bottom w:val="single" w:sz="6" w:space="0" w:color="auto"/>
              <w:right w:val="single" w:sz="6" w:space="0" w:color="auto"/>
            </w:tcBorders>
          </w:tcPr>
          <w:p w:rsidR="000C642B" w:rsidRDefault="000C642B" w:rsidP="00254257">
            <w:pPr>
              <w:jc w:val="center"/>
              <w:rPr>
                <w:snapToGrid w:val="0"/>
                <w:color w:val="000000"/>
              </w:rPr>
            </w:pPr>
            <w:r>
              <w:rPr>
                <w:snapToGrid w:val="0"/>
                <w:color w:val="000000"/>
              </w:rPr>
              <w:t>$305</w:t>
            </w:r>
          </w:p>
        </w:tc>
        <w:tc>
          <w:tcPr>
            <w:tcW w:w="2122" w:type="dxa"/>
            <w:tcBorders>
              <w:top w:val="single" w:sz="6" w:space="0" w:color="auto"/>
              <w:left w:val="single" w:sz="6" w:space="0" w:color="auto"/>
              <w:bottom w:val="single" w:sz="6" w:space="0" w:color="auto"/>
            </w:tcBorders>
          </w:tcPr>
          <w:p w:rsidR="000C642B" w:rsidRDefault="000C642B" w:rsidP="00254257">
            <w:pPr>
              <w:jc w:val="center"/>
              <w:rPr>
                <w:snapToGrid w:val="0"/>
                <w:color w:val="000000"/>
              </w:rPr>
            </w:pPr>
            <w:r>
              <w:rPr>
                <w:snapToGrid w:val="0"/>
                <w:color w:val="000000"/>
              </w:rPr>
              <w:t>$22</w:t>
            </w:r>
          </w:p>
        </w:tc>
        <w:tc>
          <w:tcPr>
            <w:tcW w:w="1504" w:type="dxa"/>
            <w:tcBorders>
              <w:top w:val="single" w:sz="6" w:space="0" w:color="auto"/>
              <w:left w:val="single" w:sz="6" w:space="0" w:color="auto"/>
              <w:bottom w:val="single" w:sz="6" w:space="0" w:color="auto"/>
            </w:tcBorders>
          </w:tcPr>
          <w:p w:rsidR="000C642B" w:rsidRDefault="000C642B" w:rsidP="00254257">
            <w:pPr>
              <w:jc w:val="center"/>
              <w:rPr>
                <w:snapToGrid w:val="0"/>
                <w:color w:val="000000"/>
              </w:rPr>
            </w:pPr>
          </w:p>
        </w:tc>
        <w:tc>
          <w:tcPr>
            <w:tcW w:w="1504" w:type="dxa"/>
            <w:tcBorders>
              <w:top w:val="single" w:sz="6" w:space="0" w:color="auto"/>
              <w:left w:val="single" w:sz="6" w:space="0" w:color="auto"/>
              <w:bottom w:val="single" w:sz="6" w:space="0" w:color="auto"/>
            </w:tcBorders>
          </w:tcPr>
          <w:p w:rsidR="000C642B" w:rsidRDefault="000C642B" w:rsidP="00254257">
            <w:pPr>
              <w:jc w:val="center"/>
              <w:rPr>
                <w:snapToGrid w:val="0"/>
                <w:color w:val="000000"/>
              </w:rPr>
            </w:pPr>
          </w:p>
        </w:tc>
      </w:tr>
      <w:tr w:rsidR="000C642B" w:rsidTr="004522F2">
        <w:trPr>
          <w:trHeight w:val="250"/>
        </w:trPr>
        <w:tc>
          <w:tcPr>
            <w:tcW w:w="3150" w:type="dxa"/>
            <w:tcBorders>
              <w:top w:val="single" w:sz="6" w:space="0" w:color="auto"/>
              <w:bottom w:val="single" w:sz="6" w:space="0" w:color="auto"/>
              <w:right w:val="single" w:sz="6" w:space="0" w:color="auto"/>
            </w:tcBorders>
          </w:tcPr>
          <w:p w:rsidR="000C642B" w:rsidRDefault="000C642B" w:rsidP="00254257">
            <w:pPr>
              <w:rPr>
                <w:snapToGrid w:val="0"/>
                <w:color w:val="000000"/>
              </w:rPr>
            </w:pPr>
            <w:r>
              <w:rPr>
                <w:snapToGrid w:val="0"/>
                <w:color w:val="000000"/>
              </w:rPr>
              <w:t>President Clinton</w:t>
            </w:r>
            <w:r w:rsidR="00765899">
              <w:rPr>
                <w:snapToGrid w:val="0"/>
                <w:color w:val="000000"/>
              </w:rPr>
              <w:t>’</w:t>
            </w:r>
            <w:r>
              <w:rPr>
                <w:snapToGrid w:val="0"/>
                <w:color w:val="000000"/>
              </w:rPr>
              <w:t>s 2000 SotU</w:t>
            </w:r>
          </w:p>
        </w:tc>
        <w:tc>
          <w:tcPr>
            <w:tcW w:w="2790" w:type="dxa"/>
            <w:tcBorders>
              <w:top w:val="single" w:sz="6" w:space="0" w:color="auto"/>
              <w:left w:val="single" w:sz="6" w:space="0" w:color="auto"/>
              <w:bottom w:val="single" w:sz="6" w:space="0" w:color="auto"/>
              <w:right w:val="single" w:sz="6" w:space="0" w:color="auto"/>
            </w:tcBorders>
          </w:tcPr>
          <w:p w:rsidR="000C642B" w:rsidRDefault="000C642B" w:rsidP="00254257">
            <w:pPr>
              <w:jc w:val="center"/>
              <w:rPr>
                <w:snapToGrid w:val="0"/>
                <w:color w:val="000000"/>
              </w:rPr>
            </w:pPr>
            <w:r>
              <w:rPr>
                <w:snapToGrid w:val="0"/>
                <w:color w:val="000000"/>
              </w:rPr>
              <w:t>$119</w:t>
            </w:r>
          </w:p>
        </w:tc>
        <w:tc>
          <w:tcPr>
            <w:tcW w:w="2122" w:type="dxa"/>
            <w:tcBorders>
              <w:top w:val="single" w:sz="6" w:space="0" w:color="auto"/>
              <w:left w:val="single" w:sz="6" w:space="0" w:color="auto"/>
              <w:bottom w:val="single" w:sz="6" w:space="0" w:color="auto"/>
            </w:tcBorders>
          </w:tcPr>
          <w:p w:rsidR="000C642B" w:rsidRDefault="000C642B" w:rsidP="00254257">
            <w:pPr>
              <w:jc w:val="center"/>
              <w:rPr>
                <w:snapToGrid w:val="0"/>
                <w:color w:val="000000"/>
              </w:rPr>
            </w:pPr>
            <w:r>
              <w:rPr>
                <w:snapToGrid w:val="0"/>
                <w:color w:val="000000"/>
              </w:rPr>
              <w:t xml:space="preserve">$21 </w:t>
            </w:r>
          </w:p>
        </w:tc>
        <w:tc>
          <w:tcPr>
            <w:tcW w:w="1504" w:type="dxa"/>
            <w:tcBorders>
              <w:top w:val="single" w:sz="6" w:space="0" w:color="auto"/>
              <w:left w:val="single" w:sz="6" w:space="0" w:color="auto"/>
              <w:bottom w:val="single" w:sz="6" w:space="0" w:color="auto"/>
            </w:tcBorders>
          </w:tcPr>
          <w:p w:rsidR="000C642B" w:rsidRDefault="000C642B" w:rsidP="00254257">
            <w:pPr>
              <w:jc w:val="center"/>
              <w:rPr>
                <w:snapToGrid w:val="0"/>
                <w:color w:val="000000"/>
              </w:rPr>
            </w:pPr>
          </w:p>
        </w:tc>
        <w:tc>
          <w:tcPr>
            <w:tcW w:w="1504" w:type="dxa"/>
            <w:tcBorders>
              <w:top w:val="single" w:sz="6" w:space="0" w:color="auto"/>
              <w:left w:val="single" w:sz="6" w:space="0" w:color="auto"/>
              <w:bottom w:val="single" w:sz="6" w:space="0" w:color="auto"/>
            </w:tcBorders>
          </w:tcPr>
          <w:p w:rsidR="000C642B" w:rsidRDefault="000C642B" w:rsidP="00254257">
            <w:pPr>
              <w:jc w:val="center"/>
              <w:rPr>
                <w:snapToGrid w:val="0"/>
                <w:color w:val="000000"/>
              </w:rPr>
            </w:pPr>
          </w:p>
        </w:tc>
      </w:tr>
      <w:tr w:rsidR="000C642B" w:rsidTr="004522F2">
        <w:trPr>
          <w:trHeight w:val="250"/>
        </w:trPr>
        <w:tc>
          <w:tcPr>
            <w:tcW w:w="3150" w:type="dxa"/>
            <w:tcBorders>
              <w:top w:val="single" w:sz="6" w:space="0" w:color="auto"/>
              <w:bottom w:val="single" w:sz="6" w:space="0" w:color="auto"/>
              <w:right w:val="single" w:sz="6" w:space="0" w:color="auto"/>
            </w:tcBorders>
          </w:tcPr>
          <w:p w:rsidR="000C642B" w:rsidRDefault="000C642B" w:rsidP="00254257">
            <w:pPr>
              <w:rPr>
                <w:snapToGrid w:val="0"/>
                <w:color w:val="000000"/>
              </w:rPr>
            </w:pPr>
            <w:r>
              <w:rPr>
                <w:snapToGrid w:val="0"/>
                <w:color w:val="000000"/>
              </w:rPr>
              <w:t>President Bush</w:t>
            </w:r>
            <w:r w:rsidR="00765899">
              <w:rPr>
                <w:snapToGrid w:val="0"/>
                <w:color w:val="000000"/>
              </w:rPr>
              <w:t>’</w:t>
            </w:r>
            <w:r>
              <w:rPr>
                <w:snapToGrid w:val="0"/>
                <w:color w:val="000000"/>
              </w:rPr>
              <w:t>s 2002 SotU*</w:t>
            </w:r>
          </w:p>
        </w:tc>
        <w:tc>
          <w:tcPr>
            <w:tcW w:w="2790" w:type="dxa"/>
            <w:tcBorders>
              <w:top w:val="single" w:sz="6" w:space="0" w:color="auto"/>
              <w:left w:val="single" w:sz="6" w:space="0" w:color="auto"/>
              <w:bottom w:val="single" w:sz="6" w:space="0" w:color="auto"/>
              <w:right w:val="single" w:sz="6" w:space="0" w:color="auto"/>
            </w:tcBorders>
          </w:tcPr>
          <w:p w:rsidR="000C642B" w:rsidRDefault="000C642B" w:rsidP="00254257">
            <w:pPr>
              <w:jc w:val="center"/>
              <w:rPr>
                <w:snapToGrid w:val="0"/>
                <w:color w:val="000000"/>
              </w:rPr>
            </w:pPr>
            <w:r>
              <w:rPr>
                <w:snapToGrid w:val="0"/>
                <w:color w:val="000000"/>
              </w:rPr>
              <w:t>$55</w:t>
            </w:r>
          </w:p>
        </w:tc>
        <w:tc>
          <w:tcPr>
            <w:tcW w:w="2122" w:type="dxa"/>
            <w:tcBorders>
              <w:top w:val="single" w:sz="6" w:space="0" w:color="auto"/>
              <w:left w:val="single" w:sz="6" w:space="0" w:color="auto"/>
              <w:bottom w:val="single" w:sz="6" w:space="0" w:color="auto"/>
            </w:tcBorders>
          </w:tcPr>
          <w:p w:rsidR="000C642B" w:rsidRDefault="000C642B" w:rsidP="00254257">
            <w:pPr>
              <w:jc w:val="center"/>
              <w:rPr>
                <w:snapToGrid w:val="0"/>
                <w:color w:val="000000"/>
              </w:rPr>
            </w:pPr>
            <w:r>
              <w:rPr>
                <w:snapToGrid w:val="0"/>
                <w:color w:val="000000"/>
              </w:rPr>
              <w:t xml:space="preserve">$51 </w:t>
            </w:r>
          </w:p>
        </w:tc>
        <w:tc>
          <w:tcPr>
            <w:tcW w:w="1504" w:type="dxa"/>
            <w:tcBorders>
              <w:top w:val="single" w:sz="6" w:space="0" w:color="auto"/>
              <w:left w:val="single" w:sz="6" w:space="0" w:color="auto"/>
              <w:bottom w:val="single" w:sz="6" w:space="0" w:color="auto"/>
            </w:tcBorders>
          </w:tcPr>
          <w:p w:rsidR="000C642B" w:rsidRDefault="000C642B" w:rsidP="00254257">
            <w:pPr>
              <w:jc w:val="center"/>
              <w:rPr>
                <w:snapToGrid w:val="0"/>
                <w:color w:val="000000"/>
              </w:rPr>
            </w:pPr>
          </w:p>
        </w:tc>
        <w:tc>
          <w:tcPr>
            <w:tcW w:w="1504" w:type="dxa"/>
            <w:tcBorders>
              <w:top w:val="single" w:sz="6" w:space="0" w:color="auto"/>
              <w:left w:val="single" w:sz="6" w:space="0" w:color="auto"/>
              <w:bottom w:val="single" w:sz="6" w:space="0" w:color="auto"/>
            </w:tcBorders>
          </w:tcPr>
          <w:p w:rsidR="000C642B" w:rsidRDefault="000C642B" w:rsidP="00254257">
            <w:pPr>
              <w:jc w:val="center"/>
              <w:rPr>
                <w:snapToGrid w:val="0"/>
                <w:color w:val="000000"/>
              </w:rPr>
            </w:pPr>
          </w:p>
        </w:tc>
      </w:tr>
      <w:tr w:rsidR="000C642B" w:rsidTr="004522F2">
        <w:trPr>
          <w:trHeight w:val="250"/>
        </w:trPr>
        <w:tc>
          <w:tcPr>
            <w:tcW w:w="3150" w:type="dxa"/>
            <w:tcBorders>
              <w:top w:val="single" w:sz="6" w:space="0" w:color="auto"/>
              <w:bottom w:val="single" w:sz="6" w:space="0" w:color="auto"/>
              <w:right w:val="single" w:sz="6" w:space="0" w:color="auto"/>
            </w:tcBorders>
          </w:tcPr>
          <w:p w:rsidR="000C642B" w:rsidRDefault="000C642B" w:rsidP="00254257">
            <w:pPr>
              <w:rPr>
                <w:snapToGrid w:val="0"/>
                <w:color w:val="000000"/>
              </w:rPr>
            </w:pPr>
            <w:r>
              <w:rPr>
                <w:snapToGrid w:val="0"/>
                <w:color w:val="000000"/>
              </w:rPr>
              <w:t>President Bush</w:t>
            </w:r>
            <w:r w:rsidR="00765899">
              <w:rPr>
                <w:snapToGrid w:val="0"/>
                <w:color w:val="000000"/>
              </w:rPr>
              <w:t>’</w:t>
            </w:r>
            <w:r>
              <w:rPr>
                <w:snapToGrid w:val="0"/>
                <w:color w:val="000000"/>
              </w:rPr>
              <w:t>s 2003 SotU</w:t>
            </w:r>
          </w:p>
        </w:tc>
        <w:tc>
          <w:tcPr>
            <w:tcW w:w="2790" w:type="dxa"/>
            <w:tcBorders>
              <w:top w:val="single" w:sz="6" w:space="0" w:color="auto"/>
              <w:left w:val="single" w:sz="6" w:space="0" w:color="auto"/>
              <w:bottom w:val="single" w:sz="6" w:space="0" w:color="auto"/>
              <w:right w:val="single" w:sz="6" w:space="0" w:color="auto"/>
            </w:tcBorders>
          </w:tcPr>
          <w:p w:rsidR="000C642B" w:rsidRDefault="000C642B" w:rsidP="00254257">
            <w:pPr>
              <w:jc w:val="center"/>
              <w:rPr>
                <w:snapToGrid w:val="0"/>
                <w:color w:val="000000"/>
              </w:rPr>
            </w:pPr>
            <w:r>
              <w:rPr>
                <w:snapToGrid w:val="0"/>
                <w:color w:val="000000"/>
              </w:rPr>
              <w:t>$46</w:t>
            </w:r>
          </w:p>
        </w:tc>
        <w:tc>
          <w:tcPr>
            <w:tcW w:w="2122" w:type="dxa"/>
            <w:tcBorders>
              <w:top w:val="single" w:sz="6" w:space="0" w:color="auto"/>
              <w:left w:val="single" w:sz="6" w:space="0" w:color="auto"/>
              <w:bottom w:val="single" w:sz="6" w:space="0" w:color="auto"/>
            </w:tcBorders>
          </w:tcPr>
          <w:p w:rsidR="000C642B" w:rsidRDefault="000C642B" w:rsidP="00254257">
            <w:pPr>
              <w:jc w:val="center"/>
              <w:rPr>
                <w:snapToGrid w:val="0"/>
                <w:color w:val="000000"/>
              </w:rPr>
            </w:pPr>
            <w:r>
              <w:rPr>
                <w:snapToGrid w:val="0"/>
                <w:color w:val="000000"/>
              </w:rPr>
              <w:t xml:space="preserve">$6 </w:t>
            </w:r>
          </w:p>
        </w:tc>
        <w:tc>
          <w:tcPr>
            <w:tcW w:w="1504" w:type="dxa"/>
            <w:tcBorders>
              <w:top w:val="single" w:sz="6" w:space="0" w:color="auto"/>
              <w:left w:val="single" w:sz="6" w:space="0" w:color="auto"/>
              <w:bottom w:val="single" w:sz="6" w:space="0" w:color="auto"/>
            </w:tcBorders>
          </w:tcPr>
          <w:p w:rsidR="000C642B" w:rsidRDefault="000C642B" w:rsidP="00254257">
            <w:pPr>
              <w:jc w:val="center"/>
              <w:rPr>
                <w:snapToGrid w:val="0"/>
                <w:color w:val="000000"/>
              </w:rPr>
            </w:pPr>
          </w:p>
        </w:tc>
        <w:tc>
          <w:tcPr>
            <w:tcW w:w="1504" w:type="dxa"/>
            <w:tcBorders>
              <w:top w:val="single" w:sz="6" w:space="0" w:color="auto"/>
              <w:left w:val="single" w:sz="6" w:space="0" w:color="auto"/>
              <w:bottom w:val="single" w:sz="6" w:space="0" w:color="auto"/>
            </w:tcBorders>
          </w:tcPr>
          <w:p w:rsidR="000C642B" w:rsidRDefault="000C642B" w:rsidP="00254257">
            <w:pPr>
              <w:jc w:val="center"/>
              <w:rPr>
                <w:snapToGrid w:val="0"/>
                <w:color w:val="000000"/>
              </w:rPr>
            </w:pPr>
          </w:p>
        </w:tc>
      </w:tr>
      <w:tr w:rsidR="000C642B" w:rsidTr="004522F2">
        <w:trPr>
          <w:trHeight w:val="250"/>
        </w:trPr>
        <w:tc>
          <w:tcPr>
            <w:tcW w:w="3150" w:type="dxa"/>
            <w:tcBorders>
              <w:top w:val="single" w:sz="6" w:space="0" w:color="auto"/>
              <w:bottom w:val="single" w:sz="6" w:space="0" w:color="auto"/>
              <w:right w:val="single" w:sz="6" w:space="0" w:color="auto"/>
            </w:tcBorders>
          </w:tcPr>
          <w:p w:rsidR="000C642B" w:rsidRDefault="000C642B" w:rsidP="00254257">
            <w:pPr>
              <w:rPr>
                <w:snapToGrid w:val="0"/>
                <w:color w:val="000000"/>
              </w:rPr>
            </w:pPr>
            <w:r>
              <w:rPr>
                <w:snapToGrid w:val="0"/>
                <w:color w:val="000000"/>
              </w:rPr>
              <w:t>President Bush</w:t>
            </w:r>
            <w:r w:rsidR="00765899">
              <w:rPr>
                <w:snapToGrid w:val="0"/>
                <w:color w:val="000000"/>
              </w:rPr>
              <w:t>’</w:t>
            </w:r>
            <w:r>
              <w:rPr>
                <w:snapToGrid w:val="0"/>
                <w:color w:val="000000"/>
              </w:rPr>
              <w:t>s 2004 SotU</w:t>
            </w:r>
          </w:p>
        </w:tc>
        <w:tc>
          <w:tcPr>
            <w:tcW w:w="2790" w:type="dxa"/>
            <w:tcBorders>
              <w:top w:val="single" w:sz="6" w:space="0" w:color="auto"/>
              <w:left w:val="single" w:sz="6" w:space="0" w:color="auto"/>
              <w:bottom w:val="single" w:sz="6" w:space="0" w:color="auto"/>
              <w:right w:val="single" w:sz="6" w:space="0" w:color="auto"/>
            </w:tcBorders>
          </w:tcPr>
          <w:p w:rsidR="000C642B" w:rsidRDefault="000C642B" w:rsidP="00254257">
            <w:pPr>
              <w:jc w:val="center"/>
              <w:rPr>
                <w:snapToGrid w:val="0"/>
                <w:color w:val="000000"/>
              </w:rPr>
            </w:pPr>
            <w:r>
              <w:rPr>
                <w:snapToGrid w:val="0"/>
                <w:color w:val="000000"/>
              </w:rPr>
              <w:t>$13.6</w:t>
            </w:r>
          </w:p>
        </w:tc>
        <w:tc>
          <w:tcPr>
            <w:tcW w:w="2122" w:type="dxa"/>
            <w:tcBorders>
              <w:top w:val="single" w:sz="6" w:space="0" w:color="auto"/>
              <w:left w:val="single" w:sz="6" w:space="0" w:color="auto"/>
              <w:bottom w:val="single" w:sz="6" w:space="0" w:color="auto"/>
            </w:tcBorders>
          </w:tcPr>
          <w:p w:rsidR="000C642B" w:rsidRDefault="000C642B" w:rsidP="00254257">
            <w:pPr>
              <w:jc w:val="center"/>
              <w:rPr>
                <w:snapToGrid w:val="0"/>
                <w:color w:val="000000"/>
              </w:rPr>
            </w:pPr>
            <w:r>
              <w:rPr>
                <w:snapToGrid w:val="0"/>
                <w:color w:val="000000"/>
              </w:rPr>
              <w:t>N/A</w:t>
            </w:r>
          </w:p>
        </w:tc>
        <w:tc>
          <w:tcPr>
            <w:tcW w:w="1504" w:type="dxa"/>
            <w:tcBorders>
              <w:top w:val="single" w:sz="6" w:space="0" w:color="auto"/>
              <w:left w:val="single" w:sz="6" w:space="0" w:color="auto"/>
              <w:bottom w:val="single" w:sz="6" w:space="0" w:color="auto"/>
            </w:tcBorders>
          </w:tcPr>
          <w:p w:rsidR="000C642B" w:rsidRDefault="000C642B" w:rsidP="00254257">
            <w:pPr>
              <w:jc w:val="center"/>
              <w:rPr>
                <w:snapToGrid w:val="0"/>
                <w:color w:val="000000"/>
              </w:rPr>
            </w:pPr>
          </w:p>
        </w:tc>
        <w:tc>
          <w:tcPr>
            <w:tcW w:w="1504" w:type="dxa"/>
            <w:tcBorders>
              <w:top w:val="single" w:sz="6" w:space="0" w:color="auto"/>
              <w:left w:val="single" w:sz="6" w:space="0" w:color="auto"/>
              <w:bottom w:val="single" w:sz="6" w:space="0" w:color="auto"/>
            </w:tcBorders>
          </w:tcPr>
          <w:p w:rsidR="000C642B" w:rsidRDefault="000C642B" w:rsidP="00254257">
            <w:pPr>
              <w:jc w:val="center"/>
              <w:rPr>
                <w:snapToGrid w:val="0"/>
                <w:color w:val="000000"/>
              </w:rPr>
            </w:pPr>
          </w:p>
        </w:tc>
      </w:tr>
      <w:tr w:rsidR="000C642B" w:rsidTr="004522F2">
        <w:trPr>
          <w:trHeight w:val="250"/>
        </w:trPr>
        <w:tc>
          <w:tcPr>
            <w:tcW w:w="3150" w:type="dxa"/>
            <w:tcBorders>
              <w:top w:val="single" w:sz="6" w:space="0" w:color="auto"/>
              <w:bottom w:val="nil"/>
              <w:right w:val="single" w:sz="6" w:space="0" w:color="auto"/>
            </w:tcBorders>
          </w:tcPr>
          <w:p w:rsidR="000C642B" w:rsidRDefault="000C642B" w:rsidP="00254257">
            <w:pPr>
              <w:rPr>
                <w:snapToGrid w:val="0"/>
                <w:color w:val="000000"/>
              </w:rPr>
            </w:pPr>
            <w:r>
              <w:rPr>
                <w:snapToGrid w:val="0"/>
                <w:color w:val="000000"/>
              </w:rPr>
              <w:t>President Bush</w:t>
            </w:r>
            <w:r w:rsidR="00765899">
              <w:rPr>
                <w:snapToGrid w:val="0"/>
                <w:color w:val="000000"/>
              </w:rPr>
              <w:t>’</w:t>
            </w:r>
            <w:r>
              <w:rPr>
                <w:snapToGrid w:val="0"/>
                <w:color w:val="000000"/>
              </w:rPr>
              <w:t>s 2005 SotU</w:t>
            </w:r>
          </w:p>
        </w:tc>
        <w:tc>
          <w:tcPr>
            <w:tcW w:w="2790" w:type="dxa"/>
            <w:tcBorders>
              <w:top w:val="single" w:sz="6" w:space="0" w:color="auto"/>
              <w:left w:val="single" w:sz="6" w:space="0" w:color="auto"/>
              <w:bottom w:val="nil"/>
              <w:right w:val="single" w:sz="6" w:space="0" w:color="auto"/>
            </w:tcBorders>
          </w:tcPr>
          <w:p w:rsidR="000C642B" w:rsidRDefault="000C642B" w:rsidP="00254257">
            <w:pPr>
              <w:jc w:val="center"/>
              <w:rPr>
                <w:snapToGrid w:val="0"/>
                <w:color w:val="000000"/>
              </w:rPr>
            </w:pPr>
            <w:r>
              <w:rPr>
                <w:snapToGrid w:val="0"/>
                <w:color w:val="000000"/>
              </w:rPr>
              <w:t>$12.8</w:t>
            </w:r>
          </w:p>
        </w:tc>
        <w:tc>
          <w:tcPr>
            <w:tcW w:w="2122" w:type="dxa"/>
            <w:tcBorders>
              <w:top w:val="single" w:sz="6" w:space="0" w:color="auto"/>
              <w:left w:val="single" w:sz="6" w:space="0" w:color="auto"/>
              <w:bottom w:val="nil"/>
            </w:tcBorders>
          </w:tcPr>
          <w:p w:rsidR="000C642B" w:rsidRDefault="000C642B" w:rsidP="00254257">
            <w:pPr>
              <w:jc w:val="center"/>
              <w:rPr>
                <w:snapToGrid w:val="0"/>
                <w:color w:val="000000"/>
              </w:rPr>
            </w:pPr>
            <w:r>
              <w:rPr>
                <w:snapToGrid w:val="0"/>
                <w:color w:val="000000"/>
              </w:rPr>
              <w:t>N/A</w:t>
            </w:r>
          </w:p>
        </w:tc>
        <w:tc>
          <w:tcPr>
            <w:tcW w:w="1504" w:type="dxa"/>
            <w:tcBorders>
              <w:top w:val="single" w:sz="6" w:space="0" w:color="auto"/>
              <w:left w:val="single" w:sz="6" w:space="0" w:color="auto"/>
              <w:bottom w:val="nil"/>
            </w:tcBorders>
          </w:tcPr>
          <w:p w:rsidR="000C642B" w:rsidRDefault="000C642B" w:rsidP="00254257">
            <w:pPr>
              <w:jc w:val="center"/>
              <w:rPr>
                <w:snapToGrid w:val="0"/>
                <w:color w:val="000000"/>
              </w:rPr>
            </w:pPr>
          </w:p>
        </w:tc>
        <w:tc>
          <w:tcPr>
            <w:tcW w:w="1504" w:type="dxa"/>
            <w:tcBorders>
              <w:top w:val="single" w:sz="6" w:space="0" w:color="auto"/>
              <w:left w:val="single" w:sz="6" w:space="0" w:color="auto"/>
              <w:bottom w:val="nil"/>
            </w:tcBorders>
          </w:tcPr>
          <w:p w:rsidR="000C642B" w:rsidRDefault="000C642B" w:rsidP="00254257">
            <w:pPr>
              <w:jc w:val="center"/>
              <w:rPr>
                <w:snapToGrid w:val="0"/>
                <w:color w:val="000000"/>
              </w:rPr>
            </w:pPr>
          </w:p>
        </w:tc>
      </w:tr>
      <w:tr w:rsidR="000C642B" w:rsidTr="004522F2">
        <w:trPr>
          <w:trHeight w:val="250"/>
        </w:trPr>
        <w:tc>
          <w:tcPr>
            <w:tcW w:w="3150" w:type="dxa"/>
            <w:tcBorders>
              <w:top w:val="single" w:sz="6" w:space="0" w:color="auto"/>
              <w:bottom w:val="single" w:sz="6" w:space="0" w:color="auto"/>
              <w:right w:val="single" w:sz="6" w:space="0" w:color="auto"/>
            </w:tcBorders>
          </w:tcPr>
          <w:p w:rsidR="000C642B" w:rsidRDefault="000C642B" w:rsidP="00254257">
            <w:pPr>
              <w:rPr>
                <w:snapToGrid w:val="0"/>
                <w:color w:val="000000"/>
              </w:rPr>
            </w:pPr>
            <w:r>
              <w:rPr>
                <w:snapToGrid w:val="0"/>
                <w:color w:val="000000"/>
              </w:rPr>
              <w:t>President Bush</w:t>
            </w:r>
            <w:r w:rsidR="00765899">
              <w:rPr>
                <w:snapToGrid w:val="0"/>
                <w:color w:val="000000"/>
              </w:rPr>
              <w:t>’</w:t>
            </w:r>
            <w:r>
              <w:rPr>
                <w:snapToGrid w:val="0"/>
                <w:color w:val="000000"/>
              </w:rPr>
              <w:t>s 2006 SotU</w:t>
            </w:r>
          </w:p>
        </w:tc>
        <w:tc>
          <w:tcPr>
            <w:tcW w:w="2790" w:type="dxa"/>
            <w:tcBorders>
              <w:top w:val="single" w:sz="6" w:space="0" w:color="auto"/>
              <w:left w:val="single" w:sz="6" w:space="0" w:color="auto"/>
              <w:bottom w:val="single" w:sz="6" w:space="0" w:color="auto"/>
              <w:right w:val="single" w:sz="6" w:space="0" w:color="auto"/>
            </w:tcBorders>
          </w:tcPr>
          <w:p w:rsidR="000C642B" w:rsidRDefault="000C642B" w:rsidP="00254257">
            <w:pPr>
              <w:jc w:val="center"/>
              <w:rPr>
                <w:snapToGrid w:val="0"/>
                <w:color w:val="000000"/>
              </w:rPr>
            </w:pPr>
            <w:r>
              <w:rPr>
                <w:snapToGrid w:val="0"/>
                <w:color w:val="000000"/>
              </w:rPr>
              <w:t>$.091</w:t>
            </w:r>
          </w:p>
        </w:tc>
        <w:tc>
          <w:tcPr>
            <w:tcW w:w="2122" w:type="dxa"/>
            <w:tcBorders>
              <w:top w:val="single" w:sz="6" w:space="0" w:color="auto"/>
              <w:left w:val="single" w:sz="6" w:space="0" w:color="auto"/>
              <w:bottom w:val="single" w:sz="6" w:space="0" w:color="auto"/>
            </w:tcBorders>
          </w:tcPr>
          <w:p w:rsidR="000C642B" w:rsidRDefault="000C642B" w:rsidP="00254257">
            <w:pPr>
              <w:jc w:val="center"/>
              <w:rPr>
                <w:snapToGrid w:val="0"/>
                <w:color w:val="000000"/>
              </w:rPr>
            </w:pPr>
            <w:r>
              <w:rPr>
                <w:snapToGrid w:val="0"/>
                <w:color w:val="000000"/>
              </w:rPr>
              <w:t>N/A</w:t>
            </w:r>
          </w:p>
        </w:tc>
        <w:tc>
          <w:tcPr>
            <w:tcW w:w="1504" w:type="dxa"/>
            <w:tcBorders>
              <w:top w:val="single" w:sz="6" w:space="0" w:color="auto"/>
              <w:left w:val="single" w:sz="6" w:space="0" w:color="auto"/>
              <w:bottom w:val="single" w:sz="6" w:space="0" w:color="auto"/>
            </w:tcBorders>
          </w:tcPr>
          <w:p w:rsidR="000C642B" w:rsidRDefault="000C642B" w:rsidP="00254257">
            <w:pPr>
              <w:jc w:val="center"/>
              <w:rPr>
                <w:snapToGrid w:val="0"/>
                <w:color w:val="000000"/>
              </w:rPr>
            </w:pPr>
          </w:p>
        </w:tc>
        <w:tc>
          <w:tcPr>
            <w:tcW w:w="1504" w:type="dxa"/>
            <w:tcBorders>
              <w:top w:val="single" w:sz="6" w:space="0" w:color="auto"/>
              <w:left w:val="single" w:sz="6" w:space="0" w:color="auto"/>
              <w:bottom w:val="single" w:sz="6" w:space="0" w:color="auto"/>
            </w:tcBorders>
          </w:tcPr>
          <w:p w:rsidR="000C642B" w:rsidRDefault="000C642B" w:rsidP="00254257">
            <w:pPr>
              <w:jc w:val="center"/>
              <w:rPr>
                <w:snapToGrid w:val="0"/>
                <w:color w:val="000000"/>
              </w:rPr>
            </w:pPr>
          </w:p>
        </w:tc>
      </w:tr>
      <w:tr w:rsidR="000C642B" w:rsidTr="004522F2">
        <w:trPr>
          <w:trHeight w:val="250"/>
        </w:trPr>
        <w:tc>
          <w:tcPr>
            <w:tcW w:w="3150" w:type="dxa"/>
            <w:tcBorders>
              <w:top w:val="single" w:sz="6" w:space="0" w:color="auto"/>
              <w:bottom w:val="single" w:sz="6" w:space="0" w:color="auto"/>
              <w:right w:val="single" w:sz="6" w:space="0" w:color="auto"/>
            </w:tcBorders>
          </w:tcPr>
          <w:p w:rsidR="000C642B" w:rsidRDefault="000C642B" w:rsidP="00254257">
            <w:pPr>
              <w:rPr>
                <w:snapToGrid w:val="0"/>
                <w:color w:val="000000"/>
              </w:rPr>
            </w:pPr>
            <w:r>
              <w:rPr>
                <w:snapToGrid w:val="0"/>
                <w:color w:val="000000"/>
              </w:rPr>
              <w:t>President Bush</w:t>
            </w:r>
            <w:r w:rsidR="00765899">
              <w:rPr>
                <w:snapToGrid w:val="0"/>
                <w:color w:val="000000"/>
              </w:rPr>
              <w:t>’</w:t>
            </w:r>
            <w:r>
              <w:rPr>
                <w:snapToGrid w:val="0"/>
                <w:color w:val="000000"/>
              </w:rPr>
              <w:t>s 2007 SotU</w:t>
            </w:r>
          </w:p>
        </w:tc>
        <w:tc>
          <w:tcPr>
            <w:tcW w:w="2790" w:type="dxa"/>
            <w:tcBorders>
              <w:top w:val="single" w:sz="6" w:space="0" w:color="auto"/>
              <w:left w:val="single" w:sz="6" w:space="0" w:color="auto"/>
              <w:bottom w:val="single" w:sz="6" w:space="0" w:color="auto"/>
              <w:right w:val="single" w:sz="6" w:space="0" w:color="auto"/>
            </w:tcBorders>
          </w:tcPr>
          <w:p w:rsidR="000C642B" w:rsidRDefault="000C642B" w:rsidP="00254257">
            <w:pPr>
              <w:jc w:val="center"/>
              <w:rPr>
                <w:snapToGrid w:val="0"/>
              </w:rPr>
            </w:pPr>
            <w:r>
              <w:rPr>
                <w:snapToGrid w:val="0"/>
              </w:rPr>
              <w:t>$3.48</w:t>
            </w:r>
          </w:p>
        </w:tc>
        <w:tc>
          <w:tcPr>
            <w:tcW w:w="2122" w:type="dxa"/>
            <w:tcBorders>
              <w:top w:val="single" w:sz="6" w:space="0" w:color="auto"/>
              <w:left w:val="single" w:sz="6" w:space="0" w:color="auto"/>
              <w:bottom w:val="single" w:sz="6" w:space="0" w:color="auto"/>
            </w:tcBorders>
          </w:tcPr>
          <w:p w:rsidR="000C642B" w:rsidRDefault="000C642B" w:rsidP="00254257">
            <w:pPr>
              <w:jc w:val="center"/>
              <w:rPr>
                <w:snapToGrid w:val="0"/>
              </w:rPr>
            </w:pPr>
            <w:r>
              <w:rPr>
                <w:snapToGrid w:val="0"/>
              </w:rPr>
              <w:t>$8.9</w:t>
            </w:r>
          </w:p>
        </w:tc>
        <w:tc>
          <w:tcPr>
            <w:tcW w:w="1504" w:type="dxa"/>
            <w:tcBorders>
              <w:top w:val="single" w:sz="6" w:space="0" w:color="auto"/>
              <w:left w:val="single" w:sz="6" w:space="0" w:color="auto"/>
              <w:bottom w:val="single" w:sz="6" w:space="0" w:color="auto"/>
            </w:tcBorders>
          </w:tcPr>
          <w:p w:rsidR="000C642B" w:rsidRDefault="000C642B" w:rsidP="00254257">
            <w:pPr>
              <w:jc w:val="center"/>
              <w:rPr>
                <w:snapToGrid w:val="0"/>
              </w:rPr>
            </w:pPr>
          </w:p>
        </w:tc>
        <w:tc>
          <w:tcPr>
            <w:tcW w:w="1504" w:type="dxa"/>
            <w:tcBorders>
              <w:top w:val="single" w:sz="6" w:space="0" w:color="auto"/>
              <w:left w:val="single" w:sz="6" w:space="0" w:color="auto"/>
              <w:bottom w:val="single" w:sz="6" w:space="0" w:color="auto"/>
            </w:tcBorders>
          </w:tcPr>
          <w:p w:rsidR="000C642B" w:rsidRDefault="000C642B" w:rsidP="00254257">
            <w:pPr>
              <w:jc w:val="center"/>
              <w:rPr>
                <w:snapToGrid w:val="0"/>
              </w:rPr>
            </w:pPr>
          </w:p>
        </w:tc>
      </w:tr>
      <w:tr w:rsidR="000C642B" w:rsidTr="004522F2">
        <w:trPr>
          <w:trHeight w:val="250"/>
        </w:trPr>
        <w:tc>
          <w:tcPr>
            <w:tcW w:w="3150" w:type="dxa"/>
            <w:tcBorders>
              <w:top w:val="single" w:sz="6" w:space="0" w:color="auto"/>
              <w:bottom w:val="single" w:sz="6" w:space="0" w:color="auto"/>
              <w:right w:val="single" w:sz="6" w:space="0" w:color="auto"/>
            </w:tcBorders>
          </w:tcPr>
          <w:p w:rsidR="000C642B" w:rsidRDefault="000C642B" w:rsidP="00254257">
            <w:pPr>
              <w:rPr>
                <w:snapToGrid w:val="0"/>
                <w:color w:val="000000"/>
              </w:rPr>
            </w:pPr>
            <w:r>
              <w:rPr>
                <w:snapToGrid w:val="0"/>
                <w:color w:val="000000"/>
              </w:rPr>
              <w:t>President Bush</w:t>
            </w:r>
            <w:r w:rsidR="00765899">
              <w:rPr>
                <w:snapToGrid w:val="0"/>
                <w:color w:val="000000"/>
              </w:rPr>
              <w:t>’</w:t>
            </w:r>
            <w:r>
              <w:rPr>
                <w:snapToGrid w:val="0"/>
                <w:color w:val="000000"/>
              </w:rPr>
              <w:t>s 2008 SotU</w:t>
            </w:r>
          </w:p>
        </w:tc>
        <w:tc>
          <w:tcPr>
            <w:tcW w:w="2790" w:type="dxa"/>
            <w:tcBorders>
              <w:top w:val="single" w:sz="6" w:space="0" w:color="auto"/>
              <w:left w:val="single" w:sz="6" w:space="0" w:color="auto"/>
              <w:bottom w:val="single" w:sz="6" w:space="0" w:color="auto"/>
              <w:right w:val="single" w:sz="6" w:space="0" w:color="auto"/>
            </w:tcBorders>
          </w:tcPr>
          <w:p w:rsidR="000C642B" w:rsidRDefault="000C642B" w:rsidP="00254257">
            <w:pPr>
              <w:jc w:val="center"/>
            </w:pPr>
            <w:r>
              <w:t xml:space="preserve">$24.75 </w:t>
            </w:r>
          </w:p>
        </w:tc>
        <w:tc>
          <w:tcPr>
            <w:tcW w:w="2122" w:type="dxa"/>
            <w:tcBorders>
              <w:top w:val="single" w:sz="6" w:space="0" w:color="auto"/>
              <w:left w:val="single" w:sz="6" w:space="0" w:color="auto"/>
              <w:bottom w:val="single" w:sz="6" w:space="0" w:color="auto"/>
            </w:tcBorders>
          </w:tcPr>
          <w:p w:rsidR="000C642B" w:rsidRDefault="000C642B" w:rsidP="00254257">
            <w:pPr>
              <w:jc w:val="center"/>
            </w:pPr>
            <w:r>
              <w:t xml:space="preserve">$109.89 </w:t>
            </w:r>
          </w:p>
        </w:tc>
        <w:tc>
          <w:tcPr>
            <w:tcW w:w="1504" w:type="dxa"/>
            <w:tcBorders>
              <w:top w:val="single" w:sz="6" w:space="0" w:color="auto"/>
              <w:left w:val="single" w:sz="6" w:space="0" w:color="auto"/>
              <w:bottom w:val="single" w:sz="6" w:space="0" w:color="auto"/>
            </w:tcBorders>
          </w:tcPr>
          <w:p w:rsidR="000C642B" w:rsidRDefault="000C642B" w:rsidP="00254257">
            <w:pPr>
              <w:jc w:val="center"/>
            </w:pPr>
          </w:p>
        </w:tc>
        <w:tc>
          <w:tcPr>
            <w:tcW w:w="1504" w:type="dxa"/>
            <w:tcBorders>
              <w:top w:val="single" w:sz="6" w:space="0" w:color="auto"/>
              <w:left w:val="single" w:sz="6" w:space="0" w:color="auto"/>
              <w:bottom w:val="single" w:sz="6" w:space="0" w:color="auto"/>
            </w:tcBorders>
          </w:tcPr>
          <w:p w:rsidR="000C642B" w:rsidRDefault="000C642B" w:rsidP="00254257">
            <w:pPr>
              <w:jc w:val="center"/>
            </w:pPr>
          </w:p>
        </w:tc>
      </w:tr>
      <w:tr w:rsidR="000C642B" w:rsidTr="004522F2">
        <w:trPr>
          <w:trHeight w:val="250"/>
        </w:trPr>
        <w:tc>
          <w:tcPr>
            <w:tcW w:w="3150" w:type="dxa"/>
            <w:tcBorders>
              <w:top w:val="single" w:sz="6" w:space="0" w:color="auto"/>
              <w:bottom w:val="single" w:sz="6" w:space="0" w:color="auto"/>
              <w:right w:val="single" w:sz="6" w:space="0" w:color="auto"/>
            </w:tcBorders>
          </w:tcPr>
          <w:p w:rsidR="000C642B" w:rsidRDefault="000C642B" w:rsidP="00254257">
            <w:pPr>
              <w:rPr>
                <w:snapToGrid w:val="0"/>
                <w:color w:val="000000"/>
              </w:rPr>
            </w:pPr>
            <w:r>
              <w:rPr>
                <w:snapToGrid w:val="0"/>
                <w:color w:val="000000"/>
              </w:rPr>
              <w:t>President Obama</w:t>
            </w:r>
            <w:r w:rsidR="00765899">
              <w:rPr>
                <w:snapToGrid w:val="0"/>
                <w:color w:val="000000"/>
              </w:rPr>
              <w:t>’</w:t>
            </w:r>
            <w:r>
              <w:rPr>
                <w:snapToGrid w:val="0"/>
                <w:color w:val="000000"/>
              </w:rPr>
              <w:t>s 2010 SotU*</w:t>
            </w:r>
          </w:p>
        </w:tc>
        <w:tc>
          <w:tcPr>
            <w:tcW w:w="2790" w:type="dxa"/>
            <w:tcBorders>
              <w:top w:val="single" w:sz="6" w:space="0" w:color="auto"/>
              <w:left w:val="single" w:sz="6" w:space="0" w:color="auto"/>
              <w:bottom w:val="single" w:sz="6" w:space="0" w:color="auto"/>
              <w:right w:val="single" w:sz="6" w:space="0" w:color="auto"/>
            </w:tcBorders>
          </w:tcPr>
          <w:p w:rsidR="000C642B" w:rsidRPr="006771A0" w:rsidRDefault="000C642B" w:rsidP="00254257">
            <w:pPr>
              <w:jc w:val="center"/>
            </w:pPr>
            <w:r w:rsidRPr="006771A0">
              <w:t>$10.2</w:t>
            </w:r>
          </w:p>
        </w:tc>
        <w:tc>
          <w:tcPr>
            <w:tcW w:w="2122" w:type="dxa"/>
            <w:tcBorders>
              <w:top w:val="single" w:sz="6" w:space="0" w:color="auto"/>
              <w:left w:val="single" w:sz="6" w:space="0" w:color="auto"/>
              <w:bottom w:val="single" w:sz="6" w:space="0" w:color="auto"/>
            </w:tcBorders>
          </w:tcPr>
          <w:p w:rsidR="000C642B" w:rsidRDefault="000C642B" w:rsidP="00254257">
            <w:pPr>
              <w:jc w:val="center"/>
            </w:pPr>
            <w:r w:rsidRPr="006771A0">
              <w:t>$11.3</w:t>
            </w:r>
          </w:p>
        </w:tc>
        <w:tc>
          <w:tcPr>
            <w:tcW w:w="1504" w:type="dxa"/>
            <w:tcBorders>
              <w:top w:val="single" w:sz="6" w:space="0" w:color="auto"/>
              <w:left w:val="single" w:sz="6" w:space="0" w:color="auto"/>
              <w:bottom w:val="single" w:sz="6" w:space="0" w:color="auto"/>
            </w:tcBorders>
          </w:tcPr>
          <w:p w:rsidR="000C642B" w:rsidRDefault="000C642B" w:rsidP="00254257">
            <w:pPr>
              <w:jc w:val="center"/>
            </w:pPr>
            <w:r>
              <w:t xml:space="preserve">$49.0 </w:t>
            </w:r>
          </w:p>
        </w:tc>
        <w:tc>
          <w:tcPr>
            <w:tcW w:w="1504" w:type="dxa"/>
            <w:tcBorders>
              <w:top w:val="single" w:sz="6" w:space="0" w:color="auto"/>
              <w:left w:val="single" w:sz="6" w:space="0" w:color="auto"/>
              <w:bottom w:val="single" w:sz="6" w:space="0" w:color="auto"/>
            </w:tcBorders>
          </w:tcPr>
          <w:p w:rsidR="000C642B" w:rsidRDefault="000C642B" w:rsidP="00254257">
            <w:pPr>
              <w:jc w:val="center"/>
            </w:pPr>
          </w:p>
        </w:tc>
      </w:tr>
      <w:tr w:rsidR="000C642B" w:rsidRPr="00F64874" w:rsidTr="004522F2">
        <w:trPr>
          <w:trHeight w:val="250"/>
        </w:trPr>
        <w:tc>
          <w:tcPr>
            <w:tcW w:w="3150" w:type="dxa"/>
            <w:tcBorders>
              <w:top w:val="single" w:sz="6" w:space="0" w:color="auto"/>
              <w:bottom w:val="single" w:sz="6" w:space="0" w:color="auto"/>
              <w:right w:val="single" w:sz="6" w:space="0" w:color="auto"/>
            </w:tcBorders>
          </w:tcPr>
          <w:p w:rsidR="000C642B" w:rsidRDefault="000C642B" w:rsidP="00254257">
            <w:pPr>
              <w:rPr>
                <w:snapToGrid w:val="0"/>
                <w:color w:val="000000"/>
              </w:rPr>
            </w:pPr>
            <w:r>
              <w:rPr>
                <w:snapToGrid w:val="0"/>
                <w:color w:val="000000"/>
              </w:rPr>
              <w:t>President Obama</w:t>
            </w:r>
            <w:r w:rsidR="00765899">
              <w:rPr>
                <w:snapToGrid w:val="0"/>
                <w:color w:val="000000"/>
              </w:rPr>
              <w:t>’</w:t>
            </w:r>
            <w:r>
              <w:rPr>
                <w:snapToGrid w:val="0"/>
                <w:color w:val="000000"/>
              </w:rPr>
              <w:t>s 2011 SotU</w:t>
            </w:r>
          </w:p>
        </w:tc>
        <w:tc>
          <w:tcPr>
            <w:tcW w:w="2790" w:type="dxa"/>
            <w:tcBorders>
              <w:top w:val="single" w:sz="6" w:space="0" w:color="auto"/>
              <w:left w:val="single" w:sz="6" w:space="0" w:color="auto"/>
              <w:bottom w:val="single" w:sz="6" w:space="0" w:color="auto"/>
              <w:right w:val="single" w:sz="6" w:space="0" w:color="auto"/>
            </w:tcBorders>
          </w:tcPr>
          <w:p w:rsidR="000C642B" w:rsidRPr="006771A0" w:rsidRDefault="000C642B" w:rsidP="00254257">
            <w:pPr>
              <w:jc w:val="center"/>
            </w:pPr>
            <w:r>
              <w:t>$39.01</w:t>
            </w:r>
          </w:p>
        </w:tc>
        <w:tc>
          <w:tcPr>
            <w:tcW w:w="2122" w:type="dxa"/>
            <w:tcBorders>
              <w:top w:val="single" w:sz="6" w:space="0" w:color="auto"/>
              <w:left w:val="single" w:sz="6" w:space="0" w:color="auto"/>
              <w:bottom w:val="single" w:sz="6" w:space="0" w:color="auto"/>
            </w:tcBorders>
          </w:tcPr>
          <w:p w:rsidR="000C642B" w:rsidRPr="006771A0" w:rsidRDefault="000C642B" w:rsidP="00254257">
            <w:pPr>
              <w:jc w:val="center"/>
            </w:pPr>
            <w:r>
              <w:t>($15.6)</w:t>
            </w:r>
          </w:p>
        </w:tc>
        <w:tc>
          <w:tcPr>
            <w:tcW w:w="1504" w:type="dxa"/>
            <w:tcBorders>
              <w:top w:val="single" w:sz="6" w:space="0" w:color="auto"/>
              <w:left w:val="single" w:sz="6" w:space="0" w:color="auto"/>
              <w:bottom w:val="single" w:sz="6" w:space="0" w:color="auto"/>
            </w:tcBorders>
          </w:tcPr>
          <w:p w:rsidR="000C642B" w:rsidRPr="00F64874" w:rsidRDefault="000C642B" w:rsidP="00254257">
            <w:pPr>
              <w:jc w:val="center"/>
            </w:pPr>
            <w:r w:rsidRPr="00F64874">
              <w:t>($2.1)</w:t>
            </w:r>
          </w:p>
        </w:tc>
        <w:tc>
          <w:tcPr>
            <w:tcW w:w="1504" w:type="dxa"/>
            <w:tcBorders>
              <w:top w:val="single" w:sz="6" w:space="0" w:color="auto"/>
              <w:left w:val="single" w:sz="6" w:space="0" w:color="auto"/>
              <w:bottom w:val="single" w:sz="6" w:space="0" w:color="auto"/>
            </w:tcBorders>
          </w:tcPr>
          <w:p w:rsidR="000C642B" w:rsidRPr="00F64874" w:rsidRDefault="000C642B" w:rsidP="00254257">
            <w:pPr>
              <w:jc w:val="center"/>
            </w:pPr>
          </w:p>
        </w:tc>
      </w:tr>
      <w:tr w:rsidR="000C642B" w:rsidRPr="00F64874" w:rsidTr="00E71600">
        <w:trPr>
          <w:trHeight w:val="250"/>
        </w:trPr>
        <w:tc>
          <w:tcPr>
            <w:tcW w:w="3150" w:type="dxa"/>
            <w:tcBorders>
              <w:top w:val="single" w:sz="6" w:space="0" w:color="auto"/>
              <w:bottom w:val="single" w:sz="6" w:space="0" w:color="auto"/>
              <w:right w:val="single" w:sz="6" w:space="0" w:color="auto"/>
            </w:tcBorders>
          </w:tcPr>
          <w:p w:rsidR="000C642B" w:rsidRDefault="000C642B" w:rsidP="00254257">
            <w:pPr>
              <w:rPr>
                <w:snapToGrid w:val="0"/>
                <w:color w:val="000000"/>
              </w:rPr>
            </w:pPr>
            <w:r>
              <w:rPr>
                <w:snapToGrid w:val="0"/>
                <w:color w:val="000000"/>
              </w:rPr>
              <w:t>President Obama</w:t>
            </w:r>
            <w:r w:rsidR="00765899">
              <w:rPr>
                <w:snapToGrid w:val="0"/>
                <w:color w:val="000000"/>
              </w:rPr>
              <w:t>’</w:t>
            </w:r>
            <w:r>
              <w:rPr>
                <w:snapToGrid w:val="0"/>
                <w:color w:val="000000"/>
              </w:rPr>
              <w:t>s 2012 SotU</w:t>
            </w:r>
          </w:p>
        </w:tc>
        <w:tc>
          <w:tcPr>
            <w:tcW w:w="2790" w:type="dxa"/>
            <w:tcBorders>
              <w:top w:val="single" w:sz="6" w:space="0" w:color="auto"/>
              <w:left w:val="single" w:sz="6" w:space="0" w:color="auto"/>
              <w:bottom w:val="single" w:sz="6" w:space="0" w:color="auto"/>
              <w:right w:val="single" w:sz="6" w:space="0" w:color="auto"/>
            </w:tcBorders>
          </w:tcPr>
          <w:p w:rsidR="000C642B" w:rsidRPr="009B2E40" w:rsidRDefault="000C642B" w:rsidP="00254257">
            <w:pPr>
              <w:jc w:val="center"/>
              <w:outlineLvl w:val="0"/>
            </w:pPr>
            <w:r>
              <w:t>$20</w:t>
            </w:r>
            <w:r w:rsidRPr="009B2E40">
              <w:t>.7</w:t>
            </w:r>
            <w:r>
              <w:t>8</w:t>
            </w:r>
            <w:r w:rsidRPr="009B2E40">
              <w:t>9</w:t>
            </w:r>
          </w:p>
        </w:tc>
        <w:tc>
          <w:tcPr>
            <w:tcW w:w="2122" w:type="dxa"/>
            <w:tcBorders>
              <w:top w:val="single" w:sz="6" w:space="0" w:color="auto"/>
              <w:left w:val="single" w:sz="6" w:space="0" w:color="auto"/>
              <w:bottom w:val="single" w:sz="6" w:space="0" w:color="auto"/>
            </w:tcBorders>
          </w:tcPr>
          <w:p w:rsidR="000C642B" w:rsidRPr="009B2E40" w:rsidRDefault="000C642B" w:rsidP="00254257">
            <w:pPr>
              <w:jc w:val="center"/>
              <w:outlineLvl w:val="0"/>
            </w:pPr>
            <w:r w:rsidRPr="009B2E40">
              <w:t>($48.7)</w:t>
            </w:r>
          </w:p>
        </w:tc>
        <w:tc>
          <w:tcPr>
            <w:tcW w:w="1504" w:type="dxa"/>
            <w:tcBorders>
              <w:top w:val="single" w:sz="6" w:space="0" w:color="auto"/>
              <w:left w:val="single" w:sz="6" w:space="0" w:color="auto"/>
              <w:bottom w:val="single" w:sz="6" w:space="0" w:color="auto"/>
            </w:tcBorders>
          </w:tcPr>
          <w:p w:rsidR="000C642B" w:rsidRPr="00F64874" w:rsidRDefault="000C642B" w:rsidP="00254257">
            <w:pPr>
              <w:jc w:val="center"/>
            </w:pPr>
            <w:r w:rsidRPr="00F64874">
              <w:t>($0.</w:t>
            </w:r>
            <w:r>
              <w:t>08</w:t>
            </w:r>
            <w:r w:rsidRPr="00F64874">
              <w:t>)</w:t>
            </w:r>
          </w:p>
        </w:tc>
        <w:tc>
          <w:tcPr>
            <w:tcW w:w="1504" w:type="dxa"/>
            <w:tcBorders>
              <w:top w:val="single" w:sz="6" w:space="0" w:color="auto"/>
              <w:left w:val="single" w:sz="6" w:space="0" w:color="auto"/>
              <w:bottom w:val="single" w:sz="6" w:space="0" w:color="auto"/>
            </w:tcBorders>
          </w:tcPr>
          <w:p w:rsidR="000C642B" w:rsidRPr="00F64874" w:rsidRDefault="000C642B" w:rsidP="00254257">
            <w:pPr>
              <w:jc w:val="center"/>
            </w:pPr>
          </w:p>
        </w:tc>
      </w:tr>
      <w:tr w:rsidR="007B1D7F" w:rsidRPr="00F64874" w:rsidTr="00E71600">
        <w:trPr>
          <w:trHeight w:val="250"/>
        </w:trPr>
        <w:tc>
          <w:tcPr>
            <w:tcW w:w="3150" w:type="dxa"/>
            <w:tcBorders>
              <w:top w:val="single" w:sz="6" w:space="0" w:color="auto"/>
              <w:bottom w:val="single" w:sz="6" w:space="0" w:color="auto"/>
              <w:right w:val="single" w:sz="6" w:space="0" w:color="auto"/>
            </w:tcBorders>
          </w:tcPr>
          <w:p w:rsidR="007B1D7F" w:rsidRDefault="007B1D7F" w:rsidP="00966398">
            <w:pPr>
              <w:rPr>
                <w:snapToGrid w:val="0"/>
                <w:color w:val="000000"/>
              </w:rPr>
            </w:pPr>
            <w:r>
              <w:rPr>
                <w:snapToGrid w:val="0"/>
                <w:color w:val="000000"/>
              </w:rPr>
              <w:t>President Obama</w:t>
            </w:r>
            <w:r w:rsidR="00765899">
              <w:rPr>
                <w:snapToGrid w:val="0"/>
                <w:color w:val="000000"/>
              </w:rPr>
              <w:t>’</w:t>
            </w:r>
            <w:r>
              <w:rPr>
                <w:snapToGrid w:val="0"/>
                <w:color w:val="000000"/>
              </w:rPr>
              <w:t>s 2013 SotU</w:t>
            </w:r>
          </w:p>
        </w:tc>
        <w:tc>
          <w:tcPr>
            <w:tcW w:w="2790" w:type="dxa"/>
            <w:tcBorders>
              <w:top w:val="single" w:sz="6" w:space="0" w:color="auto"/>
              <w:left w:val="single" w:sz="6" w:space="0" w:color="auto"/>
              <w:bottom w:val="single" w:sz="6" w:space="0" w:color="auto"/>
              <w:right w:val="single" w:sz="6" w:space="0" w:color="auto"/>
            </w:tcBorders>
          </w:tcPr>
          <w:p w:rsidR="007B1D7F" w:rsidRDefault="007B1D7F" w:rsidP="00254257">
            <w:pPr>
              <w:jc w:val="center"/>
              <w:outlineLvl w:val="0"/>
            </w:pPr>
            <w:r>
              <w:t>$27.134</w:t>
            </w:r>
          </w:p>
        </w:tc>
        <w:tc>
          <w:tcPr>
            <w:tcW w:w="2122" w:type="dxa"/>
            <w:tcBorders>
              <w:top w:val="single" w:sz="6" w:space="0" w:color="auto"/>
              <w:left w:val="single" w:sz="6" w:space="0" w:color="auto"/>
              <w:bottom w:val="single" w:sz="6" w:space="0" w:color="auto"/>
            </w:tcBorders>
          </w:tcPr>
          <w:p w:rsidR="007B1D7F" w:rsidRPr="009B2E40" w:rsidRDefault="00192D75" w:rsidP="00254257">
            <w:pPr>
              <w:jc w:val="center"/>
              <w:outlineLvl w:val="0"/>
            </w:pPr>
            <w:r>
              <w:t>N/A</w:t>
            </w:r>
          </w:p>
        </w:tc>
        <w:tc>
          <w:tcPr>
            <w:tcW w:w="1504" w:type="dxa"/>
            <w:tcBorders>
              <w:top w:val="single" w:sz="6" w:space="0" w:color="auto"/>
              <w:left w:val="single" w:sz="6" w:space="0" w:color="auto"/>
              <w:bottom w:val="single" w:sz="6" w:space="0" w:color="auto"/>
            </w:tcBorders>
          </w:tcPr>
          <w:p w:rsidR="007B1D7F" w:rsidRPr="007B1D7F" w:rsidRDefault="007B1D7F" w:rsidP="007B1D7F">
            <w:pPr>
              <w:jc w:val="center"/>
              <w:rPr>
                <w:color w:val="000000"/>
              </w:rPr>
            </w:pPr>
            <w:r>
              <w:rPr>
                <w:color w:val="000000"/>
              </w:rPr>
              <w:t>$56.273</w:t>
            </w:r>
          </w:p>
        </w:tc>
        <w:tc>
          <w:tcPr>
            <w:tcW w:w="1504" w:type="dxa"/>
            <w:tcBorders>
              <w:top w:val="single" w:sz="6" w:space="0" w:color="auto"/>
              <w:left w:val="single" w:sz="6" w:space="0" w:color="auto"/>
              <w:bottom w:val="single" w:sz="6" w:space="0" w:color="auto"/>
            </w:tcBorders>
          </w:tcPr>
          <w:p w:rsidR="007B1D7F" w:rsidRPr="00F64874" w:rsidRDefault="007B1D7F" w:rsidP="00254257">
            <w:pPr>
              <w:jc w:val="center"/>
            </w:pPr>
            <w:r>
              <w:t>$17</w:t>
            </w:r>
          </w:p>
        </w:tc>
      </w:tr>
      <w:tr w:rsidR="00EC34B8" w:rsidRPr="00F64874" w:rsidTr="00E71600">
        <w:trPr>
          <w:trHeight w:val="250"/>
        </w:trPr>
        <w:tc>
          <w:tcPr>
            <w:tcW w:w="3150" w:type="dxa"/>
            <w:tcBorders>
              <w:top w:val="single" w:sz="6" w:space="0" w:color="auto"/>
              <w:bottom w:val="double" w:sz="4" w:space="0" w:color="auto"/>
              <w:right w:val="single" w:sz="6" w:space="0" w:color="auto"/>
            </w:tcBorders>
          </w:tcPr>
          <w:p w:rsidR="00EC34B8" w:rsidRDefault="00EC34B8" w:rsidP="00E71600">
            <w:pPr>
              <w:rPr>
                <w:snapToGrid w:val="0"/>
                <w:color w:val="000000"/>
              </w:rPr>
            </w:pPr>
            <w:r>
              <w:rPr>
                <w:snapToGrid w:val="0"/>
                <w:color w:val="000000"/>
              </w:rPr>
              <w:lastRenderedPageBreak/>
              <w:t>President Obama’s 2014 SotU</w:t>
            </w:r>
          </w:p>
        </w:tc>
        <w:tc>
          <w:tcPr>
            <w:tcW w:w="2790" w:type="dxa"/>
            <w:tcBorders>
              <w:top w:val="single" w:sz="6" w:space="0" w:color="auto"/>
              <w:left w:val="single" w:sz="6" w:space="0" w:color="auto"/>
              <w:bottom w:val="double" w:sz="4" w:space="0" w:color="auto"/>
              <w:right w:val="single" w:sz="6" w:space="0" w:color="auto"/>
            </w:tcBorders>
          </w:tcPr>
          <w:p w:rsidR="00EC34B8" w:rsidRPr="00673061" w:rsidRDefault="00EC34B8" w:rsidP="00EC34B8">
            <w:pPr>
              <w:jc w:val="center"/>
            </w:pPr>
            <w:r w:rsidRPr="00673061">
              <w:t>$7.80</w:t>
            </w:r>
            <w:r w:rsidR="00AF5667">
              <w:t>4</w:t>
            </w:r>
          </w:p>
        </w:tc>
        <w:tc>
          <w:tcPr>
            <w:tcW w:w="2122" w:type="dxa"/>
            <w:tcBorders>
              <w:top w:val="single" w:sz="6" w:space="0" w:color="auto"/>
              <w:left w:val="single" w:sz="6" w:space="0" w:color="auto"/>
              <w:bottom w:val="double" w:sz="4" w:space="0" w:color="auto"/>
            </w:tcBorders>
          </w:tcPr>
          <w:p w:rsidR="00EC34B8" w:rsidRPr="00673061" w:rsidRDefault="00EC34B8" w:rsidP="00EC34B8">
            <w:pPr>
              <w:jc w:val="center"/>
            </w:pPr>
            <w:r w:rsidRPr="00673061">
              <w:t>N/A</w:t>
            </w:r>
          </w:p>
        </w:tc>
        <w:tc>
          <w:tcPr>
            <w:tcW w:w="1504" w:type="dxa"/>
            <w:tcBorders>
              <w:top w:val="single" w:sz="6" w:space="0" w:color="auto"/>
              <w:left w:val="single" w:sz="6" w:space="0" w:color="auto"/>
              <w:bottom w:val="double" w:sz="4" w:space="0" w:color="auto"/>
            </w:tcBorders>
          </w:tcPr>
          <w:p w:rsidR="00EC34B8" w:rsidRDefault="00EC34B8" w:rsidP="00EC34B8">
            <w:pPr>
              <w:jc w:val="center"/>
            </w:pPr>
            <w:r w:rsidRPr="00673061">
              <w:t>$32.19</w:t>
            </w:r>
            <w:r w:rsidR="00AF5667">
              <w:t>1</w:t>
            </w:r>
          </w:p>
        </w:tc>
        <w:tc>
          <w:tcPr>
            <w:tcW w:w="1504" w:type="dxa"/>
            <w:tcBorders>
              <w:top w:val="single" w:sz="6" w:space="0" w:color="auto"/>
              <w:left w:val="single" w:sz="6" w:space="0" w:color="auto"/>
              <w:bottom w:val="double" w:sz="4" w:space="0" w:color="auto"/>
            </w:tcBorders>
          </w:tcPr>
          <w:p w:rsidR="00EC34B8" w:rsidRDefault="00EC34B8" w:rsidP="00254257">
            <w:pPr>
              <w:jc w:val="center"/>
            </w:pPr>
          </w:p>
        </w:tc>
      </w:tr>
      <w:tr w:rsidR="00F02835" w:rsidRPr="00E93A01" w:rsidTr="000C642B">
        <w:trPr>
          <w:trHeight w:val="484"/>
        </w:trPr>
        <w:tc>
          <w:tcPr>
            <w:tcW w:w="11070" w:type="dxa"/>
            <w:gridSpan w:val="5"/>
            <w:tcBorders>
              <w:top w:val="nil"/>
            </w:tcBorders>
          </w:tcPr>
          <w:p w:rsidR="00F02835" w:rsidRPr="00E93A01" w:rsidRDefault="00F02835" w:rsidP="00254257">
            <w:pPr>
              <w:rPr>
                <w:snapToGrid w:val="0"/>
                <w:color w:val="000000"/>
                <w:sz w:val="18"/>
                <w:szCs w:val="18"/>
              </w:rPr>
            </w:pPr>
            <w:r w:rsidRPr="00E93A01">
              <w:rPr>
                <w:snapToGrid w:val="0"/>
                <w:color w:val="000000"/>
                <w:sz w:val="18"/>
                <w:szCs w:val="18"/>
              </w:rPr>
              <w:t>*Historically Presidents do not give State of the Union addresses their first year in office (2001 for President Bush, 2009 for President Obama).</w:t>
            </w:r>
          </w:p>
        </w:tc>
      </w:tr>
    </w:tbl>
    <w:p w:rsidR="00F02835" w:rsidRDefault="00F02835"/>
    <w:p w:rsidR="007201D6" w:rsidRDefault="007201D6"/>
    <w:p w:rsidR="00F02835" w:rsidRDefault="00F02835"/>
    <w:p w:rsidR="00F02835" w:rsidRDefault="00F02835"/>
    <w:p w:rsidR="00F02835" w:rsidRDefault="00F02835" w:rsidP="007201D6">
      <w:pPr>
        <w:ind w:firstLine="720"/>
      </w:pPr>
    </w:p>
    <w:p w:rsidR="00F02835" w:rsidRDefault="00F02835"/>
    <w:p w:rsidR="00F02835" w:rsidRDefault="00E752F3">
      <w:r>
        <w:rPr>
          <w:noProof/>
        </w:rPr>
        <w:drawing>
          <wp:inline distT="0" distB="0" distL="0" distR="0">
            <wp:extent cx="5691776" cy="3357761"/>
            <wp:effectExtent l="11673" t="5834" r="5836" b="0"/>
            <wp:docPr id="1"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15496" w:rsidRDefault="00915496">
      <w:pPr>
        <w:rPr>
          <w:snapToGrid w:val="0"/>
          <w:color w:val="000000"/>
          <w:sz w:val="18"/>
          <w:szCs w:val="18"/>
        </w:rPr>
      </w:pPr>
    </w:p>
    <w:p w:rsidR="00F02835" w:rsidRDefault="00367BE2">
      <w:r w:rsidRPr="00E93A01">
        <w:rPr>
          <w:snapToGrid w:val="0"/>
          <w:color w:val="000000"/>
          <w:sz w:val="18"/>
          <w:szCs w:val="18"/>
        </w:rPr>
        <w:t>*Historically Presidents do not give State of the Union addresses their first year in office (2001 for President Bush, 2009 for President Obama).</w:t>
      </w:r>
    </w:p>
    <w:sectPr w:rsidR="00F02835" w:rsidSect="005A6435">
      <w:headerReference w:type="default" r:id="rId8"/>
      <w:headerReference w:type="first" r:id="rId9"/>
      <w:footerReference w:type="first" r:id="rId10"/>
      <w:pgSz w:w="12240" w:h="15840"/>
      <w:pgMar w:top="1440" w:right="180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AFB" w:rsidRDefault="00976AFB" w:rsidP="003F5A90">
      <w:r>
        <w:separator/>
      </w:r>
    </w:p>
  </w:endnote>
  <w:endnote w:type="continuationSeparator" w:id="0">
    <w:p w:rsidR="00976AFB" w:rsidRDefault="00976AFB" w:rsidP="003F5A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0AF" w:rsidRDefault="00E752F3">
    <w:pPr>
      <w:pStyle w:val="Footer"/>
    </w:pPr>
    <w:r>
      <w:rPr>
        <w:noProof/>
      </w:rPr>
      <w:drawing>
        <wp:inline distT="0" distB="0" distL="0" distR="0">
          <wp:extent cx="5947410" cy="111125"/>
          <wp:effectExtent l="19050" t="0" r="0" b="0"/>
          <wp:docPr id="3" name="Picture 2" descr="Description: 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Bottom"/>
                  <pic:cNvPicPr>
                    <a:picLocks noChangeAspect="1" noChangeArrowheads="1"/>
                  </pic:cNvPicPr>
                </pic:nvPicPr>
                <pic:blipFill>
                  <a:blip r:embed="rId1"/>
                  <a:srcRect/>
                  <a:stretch>
                    <a:fillRect/>
                  </a:stretch>
                </pic:blipFill>
                <pic:spPr bwMode="auto">
                  <a:xfrm>
                    <a:off x="0" y="0"/>
                    <a:ext cx="5947410" cy="11112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AFB" w:rsidRDefault="00976AFB" w:rsidP="003F5A90">
      <w:r>
        <w:separator/>
      </w:r>
    </w:p>
  </w:footnote>
  <w:footnote w:type="continuationSeparator" w:id="0">
    <w:p w:rsidR="00976AFB" w:rsidRDefault="00976AFB" w:rsidP="003F5A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435" w:rsidRDefault="00E752F3" w:rsidP="005A6435">
    <w:pPr>
      <w:pStyle w:val="Header"/>
      <w:jc w:val="center"/>
    </w:pPr>
    <w:r>
      <w:rPr>
        <w:noProof/>
      </w:rPr>
      <w:drawing>
        <wp:inline distT="0" distB="0" distL="0" distR="0">
          <wp:extent cx="1598295" cy="652145"/>
          <wp:effectExtent l="19050" t="0" r="1905" b="0"/>
          <wp:docPr id="6" name="Picture 1" descr="Description: 2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2758"/>
                  <pic:cNvPicPr>
                    <a:picLocks noChangeAspect="1" noChangeArrowheads="1"/>
                  </pic:cNvPicPr>
                </pic:nvPicPr>
                <pic:blipFill>
                  <a:blip r:embed="rId1"/>
                  <a:srcRect/>
                  <a:stretch>
                    <a:fillRect/>
                  </a:stretch>
                </pic:blipFill>
                <pic:spPr bwMode="auto">
                  <a:xfrm>
                    <a:off x="0" y="0"/>
                    <a:ext cx="1598295" cy="652145"/>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0AF" w:rsidRDefault="007120AF" w:rsidP="003F5A90">
    <w:pPr>
      <w:pStyle w:val="Head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drawingGridHorizontalSpacing w:val="120"/>
  <w:displayHorizontalDrawingGridEvery w:val="2"/>
  <w:characterSpacingControl w:val="doNotCompress"/>
  <w:hdrShapeDefaults>
    <o:shapedefaults v:ext="edit" spidmax="29699"/>
  </w:hdrShapeDefaults>
  <w:footnotePr>
    <w:footnote w:id="-1"/>
    <w:footnote w:id="0"/>
  </w:footnotePr>
  <w:endnotePr>
    <w:endnote w:id="-1"/>
    <w:endnote w:id="0"/>
  </w:endnotePr>
  <w:compat/>
  <w:rsids>
    <w:rsidRoot w:val="004943A4"/>
    <w:rsid w:val="0000709D"/>
    <w:rsid w:val="00060576"/>
    <w:rsid w:val="00065DAC"/>
    <w:rsid w:val="000735D3"/>
    <w:rsid w:val="00076675"/>
    <w:rsid w:val="00084AE0"/>
    <w:rsid w:val="000A4901"/>
    <w:rsid w:val="000C642B"/>
    <w:rsid w:val="000C71FB"/>
    <w:rsid w:val="000E0E7D"/>
    <w:rsid w:val="000F65E0"/>
    <w:rsid w:val="00101EA1"/>
    <w:rsid w:val="00172214"/>
    <w:rsid w:val="00191497"/>
    <w:rsid w:val="00192D75"/>
    <w:rsid w:val="001A4E8D"/>
    <w:rsid w:val="001E7832"/>
    <w:rsid w:val="001F5EBD"/>
    <w:rsid w:val="002028CB"/>
    <w:rsid w:val="00242506"/>
    <w:rsid w:val="00242742"/>
    <w:rsid w:val="00254257"/>
    <w:rsid w:val="00262DE9"/>
    <w:rsid w:val="00285D89"/>
    <w:rsid w:val="00291419"/>
    <w:rsid w:val="002A1C16"/>
    <w:rsid w:val="002B2B20"/>
    <w:rsid w:val="002C235A"/>
    <w:rsid w:val="002C6884"/>
    <w:rsid w:val="002C750A"/>
    <w:rsid w:val="002D0188"/>
    <w:rsid w:val="002D4E19"/>
    <w:rsid w:val="0030188F"/>
    <w:rsid w:val="0033496B"/>
    <w:rsid w:val="00336BBE"/>
    <w:rsid w:val="0036102A"/>
    <w:rsid w:val="00367BE2"/>
    <w:rsid w:val="003C4E4A"/>
    <w:rsid w:val="003D0E6D"/>
    <w:rsid w:val="003D60B5"/>
    <w:rsid w:val="003F05E2"/>
    <w:rsid w:val="003F5A90"/>
    <w:rsid w:val="00443743"/>
    <w:rsid w:val="004522F2"/>
    <w:rsid w:val="0047364A"/>
    <w:rsid w:val="0048279E"/>
    <w:rsid w:val="00485EFD"/>
    <w:rsid w:val="00490342"/>
    <w:rsid w:val="004917D5"/>
    <w:rsid w:val="00493C5A"/>
    <w:rsid w:val="004943A4"/>
    <w:rsid w:val="004A31D8"/>
    <w:rsid w:val="004C51C9"/>
    <w:rsid w:val="004D1655"/>
    <w:rsid w:val="004D398B"/>
    <w:rsid w:val="005504EE"/>
    <w:rsid w:val="0055300E"/>
    <w:rsid w:val="00595F69"/>
    <w:rsid w:val="005A6435"/>
    <w:rsid w:val="005B699E"/>
    <w:rsid w:val="005C7AD1"/>
    <w:rsid w:val="005D02DB"/>
    <w:rsid w:val="005F2801"/>
    <w:rsid w:val="00612635"/>
    <w:rsid w:val="0063298A"/>
    <w:rsid w:val="00632BE0"/>
    <w:rsid w:val="00661A94"/>
    <w:rsid w:val="0066268E"/>
    <w:rsid w:val="006A5B63"/>
    <w:rsid w:val="006A7786"/>
    <w:rsid w:val="006B1666"/>
    <w:rsid w:val="006C3720"/>
    <w:rsid w:val="006D7E08"/>
    <w:rsid w:val="006E139F"/>
    <w:rsid w:val="006F1CAE"/>
    <w:rsid w:val="00706CE4"/>
    <w:rsid w:val="007120AF"/>
    <w:rsid w:val="007201D6"/>
    <w:rsid w:val="00734E40"/>
    <w:rsid w:val="00746B8A"/>
    <w:rsid w:val="00763C8C"/>
    <w:rsid w:val="00765899"/>
    <w:rsid w:val="00792B76"/>
    <w:rsid w:val="00797ADF"/>
    <w:rsid w:val="007A04D2"/>
    <w:rsid w:val="007B1D7F"/>
    <w:rsid w:val="007B2E78"/>
    <w:rsid w:val="007B67C0"/>
    <w:rsid w:val="007E7F9B"/>
    <w:rsid w:val="00800882"/>
    <w:rsid w:val="00807BC6"/>
    <w:rsid w:val="00830015"/>
    <w:rsid w:val="00836468"/>
    <w:rsid w:val="00847981"/>
    <w:rsid w:val="00872AE1"/>
    <w:rsid w:val="00876E9E"/>
    <w:rsid w:val="00896900"/>
    <w:rsid w:val="008F7EF7"/>
    <w:rsid w:val="00915496"/>
    <w:rsid w:val="00920129"/>
    <w:rsid w:val="00932649"/>
    <w:rsid w:val="00966398"/>
    <w:rsid w:val="00976AFB"/>
    <w:rsid w:val="00994524"/>
    <w:rsid w:val="009A1C97"/>
    <w:rsid w:val="009A2077"/>
    <w:rsid w:val="009A313E"/>
    <w:rsid w:val="009A3477"/>
    <w:rsid w:val="009B2E40"/>
    <w:rsid w:val="009D5866"/>
    <w:rsid w:val="009F1531"/>
    <w:rsid w:val="00A35824"/>
    <w:rsid w:val="00A574AE"/>
    <w:rsid w:val="00A63E41"/>
    <w:rsid w:val="00A7693B"/>
    <w:rsid w:val="00A90A2C"/>
    <w:rsid w:val="00AC6A01"/>
    <w:rsid w:val="00AE7C7E"/>
    <w:rsid w:val="00AF5667"/>
    <w:rsid w:val="00B275BB"/>
    <w:rsid w:val="00B52199"/>
    <w:rsid w:val="00B662C0"/>
    <w:rsid w:val="00BB74B6"/>
    <w:rsid w:val="00BC3D0C"/>
    <w:rsid w:val="00BC7F1D"/>
    <w:rsid w:val="00C05C02"/>
    <w:rsid w:val="00C11441"/>
    <w:rsid w:val="00C40482"/>
    <w:rsid w:val="00CC21E7"/>
    <w:rsid w:val="00CC5795"/>
    <w:rsid w:val="00D47369"/>
    <w:rsid w:val="00D56FC1"/>
    <w:rsid w:val="00DF2B06"/>
    <w:rsid w:val="00DF30B6"/>
    <w:rsid w:val="00DF5831"/>
    <w:rsid w:val="00E036F7"/>
    <w:rsid w:val="00E119D6"/>
    <w:rsid w:val="00E517BF"/>
    <w:rsid w:val="00E71600"/>
    <w:rsid w:val="00E752F3"/>
    <w:rsid w:val="00E75803"/>
    <w:rsid w:val="00E93A01"/>
    <w:rsid w:val="00EB198A"/>
    <w:rsid w:val="00EC34B8"/>
    <w:rsid w:val="00EC57ED"/>
    <w:rsid w:val="00ED61EF"/>
    <w:rsid w:val="00F02835"/>
    <w:rsid w:val="00F5567C"/>
    <w:rsid w:val="00F55E06"/>
    <w:rsid w:val="00F62703"/>
    <w:rsid w:val="00F64874"/>
    <w:rsid w:val="00FD424B"/>
    <w:rsid w:val="00FD64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144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943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3F05E2"/>
    <w:rPr>
      <w:color w:val="0000FF"/>
      <w:u w:val="single"/>
    </w:rPr>
  </w:style>
  <w:style w:type="paragraph" w:styleId="Header">
    <w:name w:val="header"/>
    <w:basedOn w:val="Normal"/>
    <w:link w:val="HeaderChar"/>
    <w:rsid w:val="003F5A90"/>
    <w:pPr>
      <w:tabs>
        <w:tab w:val="center" w:pos="4320"/>
        <w:tab w:val="right" w:pos="8640"/>
      </w:tabs>
    </w:pPr>
  </w:style>
  <w:style w:type="character" w:customStyle="1" w:styleId="HeaderChar">
    <w:name w:val="Header Char"/>
    <w:link w:val="Header"/>
    <w:rsid w:val="003F5A90"/>
    <w:rPr>
      <w:sz w:val="24"/>
      <w:szCs w:val="24"/>
    </w:rPr>
  </w:style>
  <w:style w:type="paragraph" w:styleId="Footer">
    <w:name w:val="footer"/>
    <w:basedOn w:val="Normal"/>
    <w:link w:val="FooterChar"/>
    <w:rsid w:val="003F5A90"/>
    <w:pPr>
      <w:tabs>
        <w:tab w:val="center" w:pos="4320"/>
        <w:tab w:val="right" w:pos="8640"/>
      </w:tabs>
    </w:pPr>
  </w:style>
  <w:style w:type="character" w:customStyle="1" w:styleId="FooterChar">
    <w:name w:val="Footer Char"/>
    <w:link w:val="Footer"/>
    <w:rsid w:val="003F5A90"/>
    <w:rPr>
      <w:sz w:val="24"/>
      <w:szCs w:val="24"/>
    </w:rPr>
  </w:style>
  <w:style w:type="paragraph" w:styleId="BalloonText">
    <w:name w:val="Balloon Text"/>
    <w:basedOn w:val="Normal"/>
    <w:link w:val="BalloonTextChar"/>
    <w:rsid w:val="00F62703"/>
    <w:rPr>
      <w:rFonts w:ascii="Tahoma" w:hAnsi="Tahoma" w:cs="Tahoma"/>
      <w:sz w:val="16"/>
      <w:szCs w:val="16"/>
    </w:rPr>
  </w:style>
  <w:style w:type="character" w:customStyle="1" w:styleId="BalloonTextChar">
    <w:name w:val="Balloon Text Char"/>
    <w:basedOn w:val="DefaultParagraphFont"/>
    <w:link w:val="BalloonText"/>
    <w:rsid w:val="00F627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522688">
      <w:bodyDiv w:val="1"/>
      <w:marLeft w:val="0"/>
      <w:marRight w:val="0"/>
      <w:marTop w:val="0"/>
      <w:marBottom w:val="0"/>
      <w:divBdr>
        <w:top w:val="none" w:sz="0" w:space="0" w:color="auto"/>
        <w:left w:val="none" w:sz="0" w:space="0" w:color="auto"/>
        <w:bottom w:val="none" w:sz="0" w:space="0" w:color="auto"/>
        <w:right w:val="none" w:sz="0" w:space="0" w:color="auto"/>
      </w:divBdr>
    </w:div>
    <w:div w:id="688676637">
      <w:bodyDiv w:val="1"/>
      <w:marLeft w:val="0"/>
      <w:marRight w:val="0"/>
      <w:marTop w:val="0"/>
      <w:marBottom w:val="0"/>
      <w:divBdr>
        <w:top w:val="none" w:sz="0" w:space="0" w:color="auto"/>
        <w:left w:val="none" w:sz="0" w:space="0" w:color="auto"/>
        <w:bottom w:val="none" w:sz="0" w:space="0" w:color="auto"/>
        <w:right w:val="none" w:sz="0" w:space="0" w:color="auto"/>
      </w:divBdr>
    </w:div>
    <w:div w:id="839587829">
      <w:bodyDiv w:val="1"/>
      <w:marLeft w:val="0"/>
      <w:marRight w:val="0"/>
      <w:marTop w:val="0"/>
      <w:marBottom w:val="0"/>
      <w:divBdr>
        <w:top w:val="none" w:sz="0" w:space="0" w:color="auto"/>
        <w:left w:val="none" w:sz="0" w:space="0" w:color="auto"/>
        <w:bottom w:val="none" w:sz="0" w:space="0" w:color="auto"/>
        <w:right w:val="none" w:sz="0" w:space="0" w:color="auto"/>
      </w:divBdr>
    </w:div>
    <w:div w:id="1003359524">
      <w:bodyDiv w:val="1"/>
      <w:marLeft w:val="0"/>
      <w:marRight w:val="0"/>
      <w:marTop w:val="0"/>
      <w:marBottom w:val="0"/>
      <w:divBdr>
        <w:top w:val="none" w:sz="0" w:space="0" w:color="auto"/>
        <w:left w:val="none" w:sz="0" w:space="0" w:color="auto"/>
        <w:bottom w:val="none" w:sz="0" w:space="0" w:color="auto"/>
        <w:right w:val="none" w:sz="0" w:space="0" w:color="auto"/>
      </w:divBdr>
    </w:div>
    <w:div w:id="1084454008">
      <w:bodyDiv w:val="1"/>
      <w:marLeft w:val="0"/>
      <w:marRight w:val="0"/>
      <w:marTop w:val="0"/>
      <w:marBottom w:val="0"/>
      <w:divBdr>
        <w:top w:val="none" w:sz="0" w:space="0" w:color="auto"/>
        <w:left w:val="none" w:sz="0" w:space="0" w:color="auto"/>
        <w:bottom w:val="none" w:sz="0" w:space="0" w:color="auto"/>
        <w:right w:val="none" w:sz="0" w:space="0" w:color="auto"/>
      </w:divBdr>
    </w:div>
    <w:div w:id="1300191335">
      <w:bodyDiv w:val="1"/>
      <w:marLeft w:val="0"/>
      <w:marRight w:val="0"/>
      <w:marTop w:val="0"/>
      <w:marBottom w:val="0"/>
      <w:divBdr>
        <w:top w:val="none" w:sz="0" w:space="0" w:color="auto"/>
        <w:left w:val="none" w:sz="0" w:space="0" w:color="auto"/>
        <w:bottom w:val="none" w:sz="0" w:space="0" w:color="auto"/>
        <w:right w:val="none" w:sz="0" w:space="0" w:color="auto"/>
      </w:divBdr>
    </w:div>
    <w:div w:id="1427000041">
      <w:bodyDiv w:val="1"/>
      <w:marLeft w:val="0"/>
      <w:marRight w:val="0"/>
      <w:marTop w:val="0"/>
      <w:marBottom w:val="0"/>
      <w:divBdr>
        <w:top w:val="none" w:sz="0" w:space="0" w:color="auto"/>
        <w:left w:val="none" w:sz="0" w:space="0" w:color="auto"/>
        <w:bottom w:val="none" w:sz="0" w:space="0" w:color="auto"/>
        <w:right w:val="none" w:sz="0" w:space="0" w:color="auto"/>
      </w:divBdr>
    </w:div>
    <w:div w:id="1869371373">
      <w:bodyDiv w:val="1"/>
      <w:marLeft w:val="0"/>
      <w:marRight w:val="0"/>
      <w:marTop w:val="0"/>
      <w:marBottom w:val="0"/>
      <w:divBdr>
        <w:top w:val="none" w:sz="0" w:space="0" w:color="auto"/>
        <w:left w:val="none" w:sz="0" w:space="0" w:color="auto"/>
        <w:bottom w:val="none" w:sz="0" w:space="0" w:color="auto"/>
        <w:right w:val="none" w:sz="0" w:space="0" w:color="auto"/>
      </w:divBdr>
    </w:div>
    <w:div w:id="203904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dbrady.NTUF\Desktop\SOTU2014\Chart%20for%20repo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800" b="1" i="0" u="none" strike="noStrike" baseline="0">
                <a:latin typeface="Times New Roman" pitchFamily="18" charset="0"/>
                <a:cs typeface="Times New Roman" pitchFamily="18" charset="0"/>
              </a:rPr>
              <a:t>Comparing State of the Union (SotU) Speeches 1999-2014 (in billions)</a:t>
            </a:r>
            <a:endParaRPr lang="en-US">
              <a:latin typeface="Times New Roman" pitchFamily="18" charset="0"/>
              <a:cs typeface="Times New Roman" pitchFamily="18" charset="0"/>
            </a:endParaRPr>
          </a:p>
        </c:rich>
      </c:tx>
    </c:title>
    <c:view3D>
      <c:depthPercent val="100"/>
      <c:rAngAx val="1"/>
    </c:view3D>
    <c:plotArea>
      <c:layout/>
      <c:bar3DChart>
        <c:barDir val="col"/>
        <c:grouping val="stacked"/>
        <c:ser>
          <c:idx val="0"/>
          <c:order val="0"/>
          <c:tx>
            <c:strRef>
              <c:f>DataTable!$B$1:$B$2</c:f>
              <c:strCache>
                <c:ptCount val="1"/>
                <c:pt idx="0">
                  <c:v>Non-Defense Discretionary Spending</c:v>
                </c:pt>
              </c:strCache>
            </c:strRef>
          </c:tx>
          <c:cat>
            <c:strRef>
              <c:f>DataTable!$A$3:$A$16</c:f>
              <c:strCache>
                <c:ptCount val="14"/>
                <c:pt idx="0">
                  <c:v>Clinton’s 1999</c:v>
                </c:pt>
                <c:pt idx="1">
                  <c:v>Clinton’s 2000</c:v>
                </c:pt>
                <c:pt idx="2">
                  <c:v>Bush’s 2002*</c:v>
                </c:pt>
                <c:pt idx="3">
                  <c:v>Bush’s 2003</c:v>
                </c:pt>
                <c:pt idx="4">
                  <c:v>Bush’s 2004</c:v>
                </c:pt>
                <c:pt idx="5">
                  <c:v>Bush’s 2005</c:v>
                </c:pt>
                <c:pt idx="6">
                  <c:v>Bush’s 2006</c:v>
                </c:pt>
                <c:pt idx="7">
                  <c:v>Bush’s 2007</c:v>
                </c:pt>
                <c:pt idx="8">
                  <c:v>Bush’s 2008</c:v>
                </c:pt>
                <c:pt idx="9">
                  <c:v>Obama’s 2010*</c:v>
                </c:pt>
                <c:pt idx="10">
                  <c:v>Obama’s 2011</c:v>
                </c:pt>
                <c:pt idx="11">
                  <c:v>Obama’s 2012</c:v>
                </c:pt>
                <c:pt idx="12">
                  <c:v>Obama’s 2013</c:v>
                </c:pt>
                <c:pt idx="13">
                  <c:v>Obama's 2014</c:v>
                </c:pt>
              </c:strCache>
            </c:strRef>
          </c:cat>
          <c:val>
            <c:numRef>
              <c:f>DataTable!$B$3:$B$16</c:f>
              <c:numCache>
                <c:formatCode>"$"#,##0_);[Red]\("$"#,##0\)</c:formatCode>
                <c:ptCount val="14"/>
                <c:pt idx="0">
                  <c:v>305</c:v>
                </c:pt>
                <c:pt idx="1">
                  <c:v>119</c:v>
                </c:pt>
                <c:pt idx="2">
                  <c:v>55</c:v>
                </c:pt>
                <c:pt idx="3">
                  <c:v>46</c:v>
                </c:pt>
                <c:pt idx="4" formatCode="&quot;$&quot;#,##0.00_);[Red]\(&quot;$&quot;#,##0.00\)">
                  <c:v>13.6</c:v>
                </c:pt>
                <c:pt idx="5" formatCode="&quot;$&quot;#,##0.00_);[Red]\(&quot;$&quot;#,##0.00\)">
                  <c:v>12.8</c:v>
                </c:pt>
                <c:pt idx="6" formatCode="&quot;$&quot;#,##0.00_);[Red]\(&quot;$&quot;#,##0.00\)">
                  <c:v>9.1000000000000025E-2</c:v>
                </c:pt>
                <c:pt idx="7" formatCode="&quot;$&quot;#,##0.00_);[Red]\(&quot;$&quot;#,##0.00\)">
                  <c:v>3.48</c:v>
                </c:pt>
                <c:pt idx="8" formatCode="&quot;$&quot;#,##0.0_);[Red]\(&quot;$&quot;#,##0.0\)">
                  <c:v>24.75</c:v>
                </c:pt>
                <c:pt idx="9" formatCode="&quot;$&quot;#,##0.0_);[Red]\(&quot;$&quot;#,##0.0\)">
                  <c:v>10.17</c:v>
                </c:pt>
                <c:pt idx="10" formatCode="&quot;$&quot;#,##0.00_);[Red]\(&quot;$&quot;#,##0.00\)">
                  <c:v>39.01</c:v>
                </c:pt>
                <c:pt idx="11" formatCode="&quot;$&quot;#,##0.00_);[Red]\(&quot;$&quot;#,##0.00\)">
                  <c:v>20.788999999999998</c:v>
                </c:pt>
                <c:pt idx="12" formatCode="&quot;$&quot;#,##0.00_);[Red]\(&quot;$&quot;#,##0.00\)">
                  <c:v>27.134000000000004</c:v>
                </c:pt>
                <c:pt idx="13" formatCode="&quot;$&quot;#,##0.00_);[Red]\(&quot;$&quot;#,##0.00\)">
                  <c:v>7.8039999999999994</c:v>
                </c:pt>
              </c:numCache>
            </c:numRef>
          </c:val>
        </c:ser>
        <c:ser>
          <c:idx val="1"/>
          <c:order val="1"/>
          <c:tx>
            <c:strRef>
              <c:f>DataTable!$C$1:$C$2</c:f>
              <c:strCache>
                <c:ptCount val="1"/>
                <c:pt idx="0">
                  <c:v>Defense/Homeland Security Spending</c:v>
                </c:pt>
              </c:strCache>
            </c:strRef>
          </c:tx>
          <c:cat>
            <c:strRef>
              <c:f>DataTable!$A$3:$A$16</c:f>
              <c:strCache>
                <c:ptCount val="14"/>
                <c:pt idx="0">
                  <c:v>Clinton’s 1999</c:v>
                </c:pt>
                <c:pt idx="1">
                  <c:v>Clinton’s 2000</c:v>
                </c:pt>
                <c:pt idx="2">
                  <c:v>Bush’s 2002*</c:v>
                </c:pt>
                <c:pt idx="3">
                  <c:v>Bush’s 2003</c:v>
                </c:pt>
                <c:pt idx="4">
                  <c:v>Bush’s 2004</c:v>
                </c:pt>
                <c:pt idx="5">
                  <c:v>Bush’s 2005</c:v>
                </c:pt>
                <c:pt idx="6">
                  <c:v>Bush’s 2006</c:v>
                </c:pt>
                <c:pt idx="7">
                  <c:v>Bush’s 2007</c:v>
                </c:pt>
                <c:pt idx="8">
                  <c:v>Bush’s 2008</c:v>
                </c:pt>
                <c:pt idx="9">
                  <c:v>Obama’s 2010*</c:v>
                </c:pt>
                <c:pt idx="10">
                  <c:v>Obama’s 2011</c:v>
                </c:pt>
                <c:pt idx="11">
                  <c:v>Obama’s 2012</c:v>
                </c:pt>
                <c:pt idx="12">
                  <c:v>Obama’s 2013</c:v>
                </c:pt>
                <c:pt idx="13">
                  <c:v>Obama's 2014</c:v>
                </c:pt>
              </c:strCache>
            </c:strRef>
          </c:cat>
          <c:val>
            <c:numRef>
              <c:f>DataTable!$C$3:$C$16</c:f>
              <c:numCache>
                <c:formatCode>"$"#,##0_);[Red]\("$"#,##0\)</c:formatCode>
                <c:ptCount val="14"/>
                <c:pt idx="0">
                  <c:v>22</c:v>
                </c:pt>
                <c:pt idx="1">
                  <c:v>21</c:v>
                </c:pt>
                <c:pt idx="2">
                  <c:v>51</c:v>
                </c:pt>
                <c:pt idx="3">
                  <c:v>6</c:v>
                </c:pt>
                <c:pt idx="4" formatCode="General">
                  <c:v>0</c:v>
                </c:pt>
                <c:pt idx="5" formatCode="General">
                  <c:v>0</c:v>
                </c:pt>
                <c:pt idx="6" formatCode="General">
                  <c:v>0</c:v>
                </c:pt>
                <c:pt idx="7" formatCode="&quot;$&quot;#,##0.00_);[Red]\(&quot;$&quot;#,##0.00\)">
                  <c:v>8.9</c:v>
                </c:pt>
                <c:pt idx="8" formatCode="&quot;$&quot;#,##0.0_);[Red]\(&quot;$&quot;#,##0.0\)">
                  <c:v>109.89</c:v>
                </c:pt>
                <c:pt idx="9" formatCode="&quot;$&quot;#,##0.0_);[Red]\(&quot;$&quot;#,##0.0\)">
                  <c:v>11.326000000000002</c:v>
                </c:pt>
                <c:pt idx="10" formatCode="&quot;$&quot;#,##0.00_);[Red]\(&quot;$&quot;#,##0.00\)">
                  <c:v>-15.6</c:v>
                </c:pt>
                <c:pt idx="11" formatCode="&quot;$&quot;#,##0.00_);[Red]\(&quot;$&quot;#,##0.00\)">
                  <c:v>-48.7</c:v>
                </c:pt>
                <c:pt idx="12" formatCode="General">
                  <c:v>0</c:v>
                </c:pt>
                <c:pt idx="13" formatCode="General">
                  <c:v>0</c:v>
                </c:pt>
              </c:numCache>
            </c:numRef>
          </c:val>
        </c:ser>
        <c:ser>
          <c:idx val="2"/>
          <c:order val="2"/>
          <c:tx>
            <c:strRef>
              <c:f>DataTable!$D$1:$D$2</c:f>
              <c:strCache>
                <c:ptCount val="1"/>
                <c:pt idx="0">
                  <c:v>Mandatory Spending</c:v>
                </c:pt>
              </c:strCache>
            </c:strRef>
          </c:tx>
          <c:cat>
            <c:strRef>
              <c:f>DataTable!$A$3:$A$16</c:f>
              <c:strCache>
                <c:ptCount val="14"/>
                <c:pt idx="0">
                  <c:v>Clinton’s 1999</c:v>
                </c:pt>
                <c:pt idx="1">
                  <c:v>Clinton’s 2000</c:v>
                </c:pt>
                <c:pt idx="2">
                  <c:v>Bush’s 2002*</c:v>
                </c:pt>
                <c:pt idx="3">
                  <c:v>Bush’s 2003</c:v>
                </c:pt>
                <c:pt idx="4">
                  <c:v>Bush’s 2004</c:v>
                </c:pt>
                <c:pt idx="5">
                  <c:v>Bush’s 2005</c:v>
                </c:pt>
                <c:pt idx="6">
                  <c:v>Bush’s 2006</c:v>
                </c:pt>
                <c:pt idx="7">
                  <c:v>Bush’s 2007</c:v>
                </c:pt>
                <c:pt idx="8">
                  <c:v>Bush’s 2008</c:v>
                </c:pt>
                <c:pt idx="9">
                  <c:v>Obama’s 2010*</c:v>
                </c:pt>
                <c:pt idx="10">
                  <c:v>Obama’s 2011</c:v>
                </c:pt>
                <c:pt idx="11">
                  <c:v>Obama’s 2012</c:v>
                </c:pt>
                <c:pt idx="12">
                  <c:v>Obama’s 2013</c:v>
                </c:pt>
                <c:pt idx="13">
                  <c:v>Obama's 2014</c:v>
                </c:pt>
              </c:strCache>
            </c:strRef>
          </c:cat>
          <c:val>
            <c:numRef>
              <c:f>DataTable!$D$3:$D$16</c:f>
              <c:numCache>
                <c:formatCode>General</c:formatCode>
                <c:ptCount val="14"/>
                <c:pt idx="9" formatCode="&quot;$&quot;#,##0.0_);[Red]\(&quot;$&quot;#,##0.0\)">
                  <c:v>48.96</c:v>
                </c:pt>
                <c:pt idx="10" formatCode="&quot;$&quot;#,##0.0_);[Red]\(&quot;$&quot;#,##0.0\)">
                  <c:v>-2.06</c:v>
                </c:pt>
                <c:pt idx="11" formatCode="&quot;$&quot;#,##0.0_);[Red]\(&quot;$&quot;#,##0.0\)">
                  <c:v>-8.0000000000000016E-2</c:v>
                </c:pt>
                <c:pt idx="12" formatCode="&quot;$&quot;#,##0.00_);[Red]\(&quot;$&quot;#,##0.00\)">
                  <c:v>56.273000000000003</c:v>
                </c:pt>
                <c:pt idx="13" formatCode="&quot;$&quot;#,##0.00_);[Red]\(&quot;$&quot;#,##0.00\)">
                  <c:v>32.191000000000003</c:v>
                </c:pt>
              </c:numCache>
            </c:numRef>
          </c:val>
        </c:ser>
        <c:ser>
          <c:idx val="3"/>
          <c:order val="3"/>
          <c:tx>
            <c:strRef>
              <c:f>DataTable!$E$1:$E$2</c:f>
              <c:strCache>
                <c:ptCount val="1"/>
                <c:pt idx="0">
                  <c:v>Sequester Contingency</c:v>
                </c:pt>
              </c:strCache>
            </c:strRef>
          </c:tx>
          <c:spPr>
            <a:solidFill>
              <a:srgbClr val="FFC000"/>
            </a:solidFill>
          </c:spPr>
          <c:cat>
            <c:strRef>
              <c:f>DataTable!$A$3:$A$16</c:f>
              <c:strCache>
                <c:ptCount val="14"/>
                <c:pt idx="0">
                  <c:v>Clinton’s 1999</c:v>
                </c:pt>
                <c:pt idx="1">
                  <c:v>Clinton’s 2000</c:v>
                </c:pt>
                <c:pt idx="2">
                  <c:v>Bush’s 2002*</c:v>
                </c:pt>
                <c:pt idx="3">
                  <c:v>Bush’s 2003</c:v>
                </c:pt>
                <c:pt idx="4">
                  <c:v>Bush’s 2004</c:v>
                </c:pt>
                <c:pt idx="5">
                  <c:v>Bush’s 2005</c:v>
                </c:pt>
                <c:pt idx="6">
                  <c:v>Bush’s 2006</c:v>
                </c:pt>
                <c:pt idx="7">
                  <c:v>Bush’s 2007</c:v>
                </c:pt>
                <c:pt idx="8">
                  <c:v>Bush’s 2008</c:v>
                </c:pt>
                <c:pt idx="9">
                  <c:v>Obama’s 2010*</c:v>
                </c:pt>
                <c:pt idx="10">
                  <c:v>Obama’s 2011</c:v>
                </c:pt>
                <c:pt idx="11">
                  <c:v>Obama’s 2012</c:v>
                </c:pt>
                <c:pt idx="12">
                  <c:v>Obama’s 2013</c:v>
                </c:pt>
                <c:pt idx="13">
                  <c:v>Obama's 2014</c:v>
                </c:pt>
              </c:strCache>
            </c:strRef>
          </c:cat>
          <c:val>
            <c:numRef>
              <c:f>DataTable!$E$3:$E$16</c:f>
              <c:numCache>
                <c:formatCode>General</c:formatCode>
                <c:ptCount val="14"/>
                <c:pt idx="12" formatCode="&quot;$&quot;#,##0_);[Red]\(&quot;$&quot;#,##0\)">
                  <c:v>17</c:v>
                </c:pt>
              </c:numCache>
            </c:numRef>
          </c:val>
        </c:ser>
        <c:shape val="box"/>
        <c:axId val="93812992"/>
        <c:axId val="101552128"/>
        <c:axId val="0"/>
      </c:bar3DChart>
      <c:catAx>
        <c:axId val="93812992"/>
        <c:scaling>
          <c:orientation val="minMax"/>
        </c:scaling>
        <c:axPos val="b"/>
        <c:numFmt formatCode="General" sourceLinked="1"/>
        <c:tickLblPos val="low"/>
        <c:txPr>
          <a:bodyPr/>
          <a:lstStyle/>
          <a:p>
            <a:pPr>
              <a:defRPr sz="800">
                <a:latin typeface="Times New Roman" pitchFamily="18" charset="0"/>
                <a:cs typeface="Times New Roman" pitchFamily="18" charset="0"/>
              </a:defRPr>
            </a:pPr>
            <a:endParaRPr lang="en-US"/>
          </a:p>
        </c:txPr>
        <c:crossAx val="101552128"/>
        <c:crosses val="autoZero"/>
        <c:auto val="1"/>
        <c:lblAlgn val="ctr"/>
        <c:lblOffset val="100"/>
      </c:catAx>
      <c:valAx>
        <c:axId val="101552128"/>
        <c:scaling>
          <c:orientation val="minMax"/>
        </c:scaling>
        <c:axPos val="l"/>
        <c:majorGridlines/>
        <c:numFmt formatCode="&quot;$&quot;#,##0_);[Red]\(&quot;$&quot;#,##0\)" sourceLinked="1"/>
        <c:tickLblPos val="nextTo"/>
        <c:txPr>
          <a:bodyPr/>
          <a:lstStyle/>
          <a:p>
            <a:pPr>
              <a:defRPr>
                <a:latin typeface="Times New Roman" pitchFamily="18" charset="0"/>
                <a:cs typeface="Times New Roman" pitchFamily="18" charset="0"/>
              </a:defRPr>
            </a:pPr>
            <a:endParaRPr lang="en-US"/>
          </a:p>
        </c:txPr>
        <c:crossAx val="93812992"/>
        <c:crosses val="autoZero"/>
        <c:crossBetween val="between"/>
      </c:valAx>
      <c:spPr>
        <a:noFill/>
        <a:ln w="25400">
          <a:noFill/>
        </a:ln>
      </c:spPr>
    </c:plotArea>
    <c:legend>
      <c:legendPos val="b"/>
      <c:txPr>
        <a:bodyPr/>
        <a:lstStyle/>
        <a:p>
          <a:pPr>
            <a:defRPr>
              <a:latin typeface="Times New Roman" pitchFamily="18" charset="0"/>
              <a:cs typeface="Times New Roman" pitchFamily="18" charset="0"/>
            </a:defRPr>
          </a:pPr>
          <a:endParaRPr lang="en-US"/>
        </a:p>
      </c:txP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68F203-3031-4F7E-A35B-8B506FDE1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6</Pages>
  <Words>2772</Words>
  <Characters>15804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Item</vt:lpstr>
    </vt:vector>
  </TitlesOfParts>
  <Company>NTU</Company>
  <LinksUpToDate>false</LinksUpToDate>
  <CharactersWithSpaces>18539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dc:title>
  <dc:creator>demian</dc:creator>
  <cp:lastModifiedBy>Dbarrett</cp:lastModifiedBy>
  <cp:revision>2</cp:revision>
  <cp:lastPrinted>2014-01-29T17:07:00Z</cp:lastPrinted>
  <dcterms:created xsi:type="dcterms:W3CDTF">2015-01-15T22:32:00Z</dcterms:created>
  <dcterms:modified xsi:type="dcterms:W3CDTF">2015-01-15T22:32:00Z</dcterms:modified>
</cp:coreProperties>
</file>