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03" w:rsidRDefault="00B52603" w:rsidP="00B52603">
      <w:pPr>
        <w:spacing w:before="120"/>
        <w:jc w:val="center"/>
        <w:rPr>
          <w:b/>
        </w:rPr>
      </w:pPr>
    </w:p>
    <w:p w:rsidR="00B52603" w:rsidRPr="003F5A90" w:rsidRDefault="00B52603" w:rsidP="00B52603">
      <w:pPr>
        <w:spacing w:before="120"/>
        <w:jc w:val="center"/>
        <w:rPr>
          <w:b/>
        </w:rPr>
      </w:pPr>
      <w:r w:rsidRPr="002A1C16">
        <w:rPr>
          <w:b/>
        </w:rPr>
        <w:t>National Taxpayers Union Foundation’s Cost Analysis of the President’s 201</w:t>
      </w:r>
      <w:r>
        <w:rPr>
          <w:b/>
        </w:rPr>
        <w:t>2</w:t>
      </w:r>
      <w:r w:rsidRPr="002A1C16">
        <w:rPr>
          <w:b/>
        </w:rPr>
        <w:t xml:space="preserve"> State of the Union Address</w:t>
      </w:r>
    </w:p>
    <w:p w:rsidR="005770D4" w:rsidRDefault="006F768C"/>
    <w:tbl>
      <w:tblPr>
        <w:tblW w:w="11076"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816"/>
        <w:gridCol w:w="3600"/>
        <w:gridCol w:w="2160"/>
        <w:gridCol w:w="4500"/>
      </w:tblGrid>
      <w:tr w:rsidR="00B52603" w:rsidRPr="004943A4" w:rsidTr="00D93354">
        <w:tc>
          <w:tcPr>
            <w:tcW w:w="816" w:type="dxa"/>
            <w:tcBorders>
              <w:top w:val="double" w:sz="4" w:space="0" w:color="auto"/>
              <w:bottom w:val="double" w:sz="4" w:space="0" w:color="auto"/>
            </w:tcBorders>
          </w:tcPr>
          <w:p w:rsidR="00B52603" w:rsidRPr="002D4E19" w:rsidRDefault="00B52603" w:rsidP="00D93354">
            <w:pPr>
              <w:jc w:val="center"/>
              <w:rPr>
                <w:b/>
              </w:rPr>
            </w:pPr>
            <w:r w:rsidRPr="002D4E19">
              <w:rPr>
                <w:b/>
              </w:rPr>
              <w:t>Item</w:t>
            </w:r>
          </w:p>
        </w:tc>
        <w:tc>
          <w:tcPr>
            <w:tcW w:w="3600" w:type="dxa"/>
            <w:tcBorders>
              <w:top w:val="double" w:sz="4" w:space="0" w:color="auto"/>
              <w:bottom w:val="double" w:sz="4" w:space="0" w:color="auto"/>
            </w:tcBorders>
          </w:tcPr>
          <w:p w:rsidR="00B52603" w:rsidRPr="002D4E19" w:rsidRDefault="00B52603" w:rsidP="00D93354">
            <w:pPr>
              <w:jc w:val="center"/>
              <w:rPr>
                <w:b/>
              </w:rPr>
            </w:pPr>
            <w:r w:rsidRPr="002D4E19">
              <w:rPr>
                <w:b/>
                <w:snapToGrid w:val="0"/>
                <w:color w:val="000000"/>
              </w:rPr>
              <w:t>Issue (quoted from text)</w:t>
            </w:r>
          </w:p>
        </w:tc>
        <w:tc>
          <w:tcPr>
            <w:tcW w:w="2160" w:type="dxa"/>
            <w:tcBorders>
              <w:top w:val="double" w:sz="4" w:space="0" w:color="auto"/>
              <w:bottom w:val="double" w:sz="4" w:space="0" w:color="auto"/>
            </w:tcBorders>
          </w:tcPr>
          <w:p w:rsidR="00B52603" w:rsidRPr="002D4E19" w:rsidRDefault="00B52603" w:rsidP="00D93354">
            <w:pPr>
              <w:jc w:val="center"/>
              <w:rPr>
                <w:b/>
              </w:rPr>
            </w:pPr>
            <w:r w:rsidRPr="002D4E19">
              <w:rPr>
                <w:b/>
                <w:snapToGrid w:val="0"/>
                <w:color w:val="000000"/>
              </w:rPr>
              <w:t xml:space="preserve">Annual </w:t>
            </w:r>
            <w:r>
              <w:rPr>
                <w:b/>
                <w:snapToGrid w:val="0"/>
                <w:color w:val="000000"/>
              </w:rPr>
              <w:t xml:space="preserve">Net </w:t>
            </w:r>
            <w:r w:rsidRPr="002D4E19">
              <w:rPr>
                <w:b/>
                <w:snapToGrid w:val="0"/>
                <w:color w:val="000000"/>
              </w:rPr>
              <w:t>Spending Increase/Decrease (in billions)</w:t>
            </w:r>
          </w:p>
        </w:tc>
        <w:tc>
          <w:tcPr>
            <w:tcW w:w="4500" w:type="dxa"/>
            <w:tcBorders>
              <w:top w:val="double" w:sz="4" w:space="0" w:color="auto"/>
              <w:bottom w:val="double" w:sz="4" w:space="0" w:color="auto"/>
            </w:tcBorders>
          </w:tcPr>
          <w:p w:rsidR="00B52603" w:rsidRPr="002D4E19" w:rsidRDefault="00B52603" w:rsidP="00D93354">
            <w:pPr>
              <w:jc w:val="center"/>
              <w:rPr>
                <w:b/>
              </w:rPr>
            </w:pPr>
            <w:r w:rsidRPr="002D4E19">
              <w:rPr>
                <w:b/>
              </w:rPr>
              <w:t>Source/Note</w:t>
            </w:r>
            <w:r w:rsidR="006F768C">
              <w:rPr>
                <w:b/>
              </w:rPr>
              <w:t>s</w:t>
            </w:r>
          </w:p>
        </w:tc>
      </w:tr>
      <w:tr w:rsidR="00B52603" w:rsidRPr="004943A4" w:rsidTr="00D93354">
        <w:tc>
          <w:tcPr>
            <w:tcW w:w="816" w:type="dxa"/>
            <w:tcBorders>
              <w:top w:val="double" w:sz="4" w:space="0" w:color="auto"/>
            </w:tcBorders>
            <w:vAlign w:val="center"/>
          </w:tcPr>
          <w:p w:rsidR="00B52603" w:rsidRPr="00EB198A" w:rsidRDefault="00B52603" w:rsidP="00D93354">
            <w:pPr>
              <w:rPr>
                <w:sz w:val="18"/>
                <w:szCs w:val="18"/>
              </w:rPr>
            </w:pPr>
          </w:p>
        </w:tc>
        <w:tc>
          <w:tcPr>
            <w:tcW w:w="3600" w:type="dxa"/>
            <w:tcBorders>
              <w:top w:val="double" w:sz="4" w:space="0" w:color="auto"/>
            </w:tcBorders>
            <w:vAlign w:val="bottom"/>
          </w:tcPr>
          <w:p w:rsidR="00B52603" w:rsidRPr="00EB198A" w:rsidRDefault="00B52603" w:rsidP="00D93354">
            <w:pPr>
              <w:rPr>
                <w:b/>
                <w:bCs/>
              </w:rPr>
            </w:pPr>
            <w:r w:rsidRPr="00EB198A">
              <w:rPr>
                <w:b/>
                <w:bCs/>
              </w:rPr>
              <w:t>Total</w:t>
            </w:r>
            <w:r>
              <w:rPr>
                <w:b/>
                <w:bCs/>
              </w:rPr>
              <w:t>:</w:t>
            </w:r>
          </w:p>
        </w:tc>
        <w:tc>
          <w:tcPr>
            <w:tcW w:w="2160" w:type="dxa"/>
            <w:tcBorders>
              <w:top w:val="double" w:sz="4" w:space="0" w:color="auto"/>
            </w:tcBorders>
            <w:vAlign w:val="bottom"/>
          </w:tcPr>
          <w:p w:rsidR="00B52603" w:rsidRPr="00EB198A" w:rsidRDefault="00B52603" w:rsidP="00D93354">
            <w:pPr>
              <w:jc w:val="center"/>
              <w:rPr>
                <w:b/>
                <w:bCs/>
              </w:rPr>
            </w:pPr>
            <w:r>
              <w:rPr>
                <w:b/>
                <w:bCs/>
              </w:rPr>
              <w:t>$</w:t>
            </w:r>
            <w:r w:rsidRPr="00EB198A">
              <w:rPr>
                <w:b/>
                <w:bCs/>
              </w:rPr>
              <w:t>-2</w:t>
            </w:r>
            <w:r>
              <w:rPr>
                <w:b/>
                <w:bCs/>
              </w:rPr>
              <w:t>7</w:t>
            </w:r>
            <w:r w:rsidRPr="00EB198A">
              <w:rPr>
                <w:b/>
                <w:bCs/>
              </w:rPr>
              <w:t>.991</w:t>
            </w:r>
          </w:p>
        </w:tc>
        <w:tc>
          <w:tcPr>
            <w:tcW w:w="4500" w:type="dxa"/>
            <w:tcBorders>
              <w:top w:val="double" w:sz="4" w:space="0" w:color="auto"/>
            </w:tcBorders>
            <w:vAlign w:val="center"/>
          </w:tcPr>
          <w:p w:rsidR="00B52603" w:rsidRPr="00EB198A" w:rsidRDefault="00B52603" w:rsidP="00D93354">
            <w:pPr>
              <w:rPr>
                <w:sz w:val="18"/>
                <w:szCs w:val="18"/>
              </w:rPr>
            </w:pPr>
          </w:p>
        </w:tc>
      </w:tr>
      <w:tr w:rsidR="00B52603" w:rsidRPr="004943A4" w:rsidTr="00D93354">
        <w:tc>
          <w:tcPr>
            <w:tcW w:w="816" w:type="dxa"/>
            <w:vAlign w:val="center"/>
          </w:tcPr>
          <w:p w:rsidR="00B52603" w:rsidRPr="00EB198A" w:rsidRDefault="00B52603" w:rsidP="00D93354">
            <w:pPr>
              <w:rPr>
                <w:sz w:val="18"/>
                <w:szCs w:val="18"/>
              </w:rPr>
            </w:pPr>
          </w:p>
        </w:tc>
        <w:tc>
          <w:tcPr>
            <w:tcW w:w="3600" w:type="dxa"/>
            <w:vAlign w:val="bottom"/>
          </w:tcPr>
          <w:p w:rsidR="00B52603" w:rsidRPr="00EB198A" w:rsidRDefault="00B52603" w:rsidP="00D93354">
            <w:pPr>
              <w:rPr>
                <w:b/>
                <w:bCs/>
              </w:rPr>
            </w:pPr>
            <w:r w:rsidRPr="00EB198A">
              <w:rPr>
                <w:b/>
                <w:bCs/>
              </w:rPr>
              <w:t>Total Excluding Defense Cuts</w:t>
            </w:r>
            <w:r>
              <w:rPr>
                <w:b/>
                <w:bCs/>
              </w:rPr>
              <w:t>:</w:t>
            </w:r>
          </w:p>
        </w:tc>
        <w:tc>
          <w:tcPr>
            <w:tcW w:w="2160" w:type="dxa"/>
            <w:vAlign w:val="bottom"/>
          </w:tcPr>
          <w:p w:rsidR="00B52603" w:rsidRPr="00EB198A" w:rsidRDefault="00B52603" w:rsidP="00D93354">
            <w:pPr>
              <w:jc w:val="center"/>
              <w:rPr>
                <w:b/>
                <w:bCs/>
              </w:rPr>
            </w:pPr>
            <w:r>
              <w:rPr>
                <w:b/>
                <w:bCs/>
              </w:rPr>
              <w:t>$20</w:t>
            </w:r>
            <w:r w:rsidRPr="00EB198A">
              <w:rPr>
                <w:b/>
                <w:bCs/>
              </w:rPr>
              <w:t>.709</w:t>
            </w:r>
          </w:p>
        </w:tc>
        <w:tc>
          <w:tcPr>
            <w:tcW w:w="4500" w:type="dxa"/>
            <w:vAlign w:val="center"/>
          </w:tcPr>
          <w:p w:rsidR="00B52603" w:rsidRPr="00EB198A" w:rsidRDefault="00B52603" w:rsidP="00D93354">
            <w:pPr>
              <w:rPr>
                <w:sz w:val="18"/>
                <w:szCs w:val="18"/>
              </w:rPr>
            </w:pP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w:t>
            </w:r>
          </w:p>
        </w:tc>
        <w:tc>
          <w:tcPr>
            <w:tcW w:w="3600" w:type="dxa"/>
          </w:tcPr>
          <w:p w:rsidR="00B52603" w:rsidRPr="00EB198A" w:rsidRDefault="00B52603" w:rsidP="00D93354">
            <w:pPr>
              <w:rPr>
                <w:sz w:val="18"/>
                <w:szCs w:val="18"/>
              </w:rPr>
            </w:pPr>
            <w:r>
              <w:rPr>
                <w:sz w:val="18"/>
                <w:szCs w:val="18"/>
              </w:rPr>
              <w:t>“</w:t>
            </w:r>
            <w:r w:rsidRPr="00EB198A">
              <w:rPr>
                <w:sz w:val="18"/>
                <w:szCs w:val="18"/>
              </w:rPr>
              <w:t>Tonight, I’m announcing the creation of a Trade Enforcement Unit that will be charged with investigating unfair trade practices in countries like China.  There will be more inspections to prevent counterfeit or unsafe goods from crossing our borders.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$0.001</w:t>
            </w:r>
          </w:p>
        </w:tc>
        <w:tc>
          <w:tcPr>
            <w:tcW w:w="4500" w:type="dxa"/>
          </w:tcPr>
          <w:p w:rsidR="00B52603" w:rsidRPr="00EB198A" w:rsidRDefault="00B52603" w:rsidP="00D93354">
            <w:pPr>
              <w:rPr>
                <w:sz w:val="18"/>
                <w:szCs w:val="18"/>
              </w:rPr>
            </w:pPr>
            <w:r w:rsidRPr="00EB198A">
              <w:rPr>
                <w:sz w:val="18"/>
                <w:szCs w:val="18"/>
              </w:rPr>
              <w:t>Related legislation (106th Congress</w:t>
            </w:r>
            <w:r>
              <w:rPr>
                <w:sz w:val="18"/>
                <w:szCs w:val="18"/>
              </w:rPr>
              <w:t>)</w:t>
            </w:r>
            <w:r w:rsidRPr="00EB198A">
              <w:rPr>
                <w:sz w:val="18"/>
                <w:szCs w:val="18"/>
              </w:rPr>
              <w:t>: Congressional Budget Office (CBO) cost estimate for S. 1254, the Steel Trade Enforcement Act of 1999. S. 1254 required that the United States Trade Representative initiate an investigation of the anticompetitive practices of foreign governments in the steel market. http://www.cbo.gov/ftpdocs/15xx/doc1520/s1254.pdf</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2</w:t>
            </w:r>
          </w:p>
        </w:tc>
        <w:tc>
          <w:tcPr>
            <w:tcW w:w="3600" w:type="dxa"/>
          </w:tcPr>
          <w:p w:rsidR="00B52603" w:rsidRPr="00EB198A" w:rsidRDefault="00B52603" w:rsidP="00D93354">
            <w:pPr>
              <w:rPr>
                <w:sz w:val="18"/>
                <w:szCs w:val="18"/>
              </w:rPr>
            </w:pPr>
            <w:r>
              <w:rPr>
                <w:sz w:val="18"/>
                <w:szCs w:val="18"/>
              </w:rPr>
              <w:t>“</w:t>
            </w:r>
            <w:r w:rsidRPr="00EB198A">
              <w:rPr>
                <w:sz w:val="18"/>
                <w:szCs w:val="18"/>
              </w:rPr>
              <w:t xml:space="preserve">Join me in a national commitment to train two million Americans with skills that will lead directly to a job.  My Administration has already lined up more companies that want to help.  Model partnerships between businesses like Siemens and community colleges in places like </w:t>
            </w:r>
            <w:smartTag w:uri="urn:schemas-microsoft-com:office:smarttags" w:element="City">
              <w:r w:rsidRPr="00EB198A">
                <w:rPr>
                  <w:sz w:val="18"/>
                  <w:szCs w:val="18"/>
                </w:rPr>
                <w:t>Charlotte</w:t>
              </w:r>
            </w:smartTag>
            <w:r w:rsidRPr="00EB198A">
              <w:rPr>
                <w:sz w:val="18"/>
                <w:szCs w:val="18"/>
              </w:rPr>
              <w:t xml:space="preserve">, </w:t>
            </w:r>
            <w:smartTag w:uri="urn:schemas-microsoft-com:office:smarttags" w:element="City">
              <w:r w:rsidRPr="00EB198A">
                <w:rPr>
                  <w:sz w:val="18"/>
                  <w:szCs w:val="18"/>
                </w:rPr>
                <w:t>Orlando</w:t>
              </w:r>
            </w:smartTag>
            <w:r w:rsidRPr="00EB198A">
              <w:rPr>
                <w:sz w:val="18"/>
                <w:szCs w:val="18"/>
              </w:rPr>
              <w:t xml:space="preserve">, and </w:t>
            </w:r>
            <w:smartTag w:uri="urn:schemas-microsoft-com:office:smarttags" w:element="City">
              <w:smartTag w:uri="urn:schemas-microsoft-com:office:smarttags" w:element="place">
                <w:r w:rsidRPr="00EB198A">
                  <w:rPr>
                    <w:sz w:val="18"/>
                    <w:szCs w:val="18"/>
                  </w:rPr>
                  <w:t>Louisville</w:t>
                </w:r>
              </w:smartTag>
            </w:smartTag>
            <w:r w:rsidRPr="00EB198A">
              <w:rPr>
                <w:sz w:val="18"/>
                <w:szCs w:val="18"/>
              </w:rPr>
              <w:t xml:space="preserve"> are up and running.   Now you need to give more community colleges the resources they need to become community career centers – places that teach people skills that local businesses are looking for right now, from data management to high-tech manufacturing.</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w:t>
            </w:r>
            <w:r w:rsidRPr="00EB198A">
              <w:rPr>
                <w:sz w:val="18"/>
                <w:szCs w:val="18"/>
              </w:rPr>
              <w:t>1</w:t>
            </w:r>
          </w:p>
        </w:tc>
        <w:tc>
          <w:tcPr>
            <w:tcW w:w="4500" w:type="dxa"/>
          </w:tcPr>
          <w:p w:rsidR="00B52603" w:rsidRPr="00EB198A" w:rsidRDefault="00B52603" w:rsidP="00D93354">
            <w:pPr>
              <w:rPr>
                <w:sz w:val="18"/>
                <w:szCs w:val="18"/>
              </w:rPr>
            </w:pPr>
            <w:r w:rsidRPr="00EB198A">
              <w:rPr>
                <w:sz w:val="18"/>
                <w:szCs w:val="18"/>
              </w:rPr>
              <w:t>Related legislation (112th Congress): Part II (Community College Modernization) of S. 1549</w:t>
            </w:r>
            <w:r>
              <w:rPr>
                <w:sz w:val="18"/>
                <w:szCs w:val="18"/>
              </w:rPr>
              <w:t xml:space="preserve">, the American Jobs Act of 2011, </w:t>
            </w:r>
            <w:r w:rsidRPr="00EB198A">
              <w:rPr>
                <w:sz w:val="18"/>
                <w:szCs w:val="18"/>
              </w:rPr>
              <w:t>as introduced by request of President Obama in 2011.</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3</w:t>
            </w:r>
          </w:p>
        </w:tc>
        <w:tc>
          <w:tcPr>
            <w:tcW w:w="3600" w:type="dxa"/>
          </w:tcPr>
          <w:p w:rsidR="00B52603" w:rsidRPr="00EB198A" w:rsidRDefault="00B52603" w:rsidP="00D93354">
            <w:pPr>
              <w:rPr>
                <w:sz w:val="18"/>
                <w:szCs w:val="18"/>
              </w:rPr>
            </w:pPr>
            <w:r>
              <w:rPr>
                <w:sz w:val="18"/>
                <w:szCs w:val="18"/>
              </w:rPr>
              <w:t>“</w:t>
            </w:r>
            <w:r w:rsidRPr="00EB198A">
              <w:rPr>
                <w:sz w:val="18"/>
                <w:szCs w:val="18"/>
              </w:rPr>
              <w:t>And I want to cut through the maze of confusing training programs, so that from now on, people ... have one program, one website, and one place to go for all the information and help they need.</w:t>
            </w:r>
            <w:r>
              <w:rPr>
                <w:sz w:val="18"/>
                <w:szCs w:val="18"/>
              </w:rPr>
              <w:t>”</w:t>
            </w:r>
          </w:p>
        </w:tc>
        <w:tc>
          <w:tcPr>
            <w:tcW w:w="2160" w:type="dxa"/>
            <w:vAlign w:val="bottom"/>
          </w:tcPr>
          <w:p w:rsidR="00B52603" w:rsidRPr="006D7E08" w:rsidRDefault="00B52603" w:rsidP="00D93354">
            <w:pPr>
              <w:jc w:val="center"/>
              <w:rPr>
                <w:color w:val="FF0000"/>
                <w:sz w:val="18"/>
                <w:szCs w:val="18"/>
              </w:rPr>
            </w:pPr>
            <w:r w:rsidRPr="006D7E08">
              <w:rPr>
                <w:color w:val="FF0000"/>
                <w:sz w:val="18"/>
                <w:szCs w:val="18"/>
              </w:rPr>
              <w:t>($0.3)</w:t>
            </w:r>
          </w:p>
        </w:tc>
        <w:tc>
          <w:tcPr>
            <w:tcW w:w="4500" w:type="dxa"/>
          </w:tcPr>
          <w:p w:rsidR="00B52603" w:rsidRPr="00EB198A" w:rsidRDefault="00B52603" w:rsidP="00D93354">
            <w:pPr>
              <w:rPr>
                <w:sz w:val="18"/>
                <w:szCs w:val="18"/>
              </w:rPr>
            </w:pPr>
            <w:r w:rsidRPr="00EB198A">
              <w:rPr>
                <w:sz w:val="18"/>
                <w:szCs w:val="18"/>
              </w:rPr>
              <w:t>http://articles.boston.com/2012-01-14/news/30628148_1_big-government-smaller-government-president-barack-obama/2</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4</w:t>
            </w:r>
          </w:p>
        </w:tc>
        <w:tc>
          <w:tcPr>
            <w:tcW w:w="3600" w:type="dxa"/>
          </w:tcPr>
          <w:p w:rsidR="00B52603" w:rsidRPr="00EB198A" w:rsidRDefault="00B52603" w:rsidP="00D93354">
            <w:pPr>
              <w:rPr>
                <w:sz w:val="18"/>
                <w:szCs w:val="18"/>
              </w:rPr>
            </w:pPr>
            <w:r>
              <w:rPr>
                <w:sz w:val="18"/>
                <w:szCs w:val="18"/>
              </w:rPr>
              <w:t>“</w:t>
            </w:r>
            <w:r w:rsidRPr="00EB198A">
              <w:rPr>
                <w:sz w:val="18"/>
                <w:szCs w:val="18"/>
              </w:rPr>
              <w:t>... [L]</w:t>
            </w:r>
            <w:proofErr w:type="spellStart"/>
            <w:r w:rsidRPr="00EB198A">
              <w:rPr>
                <w:sz w:val="18"/>
                <w:szCs w:val="18"/>
              </w:rPr>
              <w:t>et’s</w:t>
            </w:r>
            <w:proofErr w:type="spellEnd"/>
            <w:r w:rsidRPr="00EB198A">
              <w:rPr>
                <w:sz w:val="18"/>
                <w:szCs w:val="18"/>
              </w:rPr>
              <w:t xml:space="preserve"> offer schools a deal.  Give them the resources to keep good teachers on the job, and reward the best ones.  In return, grant schools flexibility:  To teach with creativity and passion; to stop teaching to the test; and to replace teachers who just aren’t helping kids learn.</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w:t>
            </w:r>
            <w:r w:rsidRPr="00EB198A">
              <w:rPr>
                <w:sz w:val="18"/>
                <w:szCs w:val="18"/>
              </w:rPr>
              <w:t>6</w:t>
            </w:r>
          </w:p>
        </w:tc>
        <w:tc>
          <w:tcPr>
            <w:tcW w:w="4500" w:type="dxa"/>
          </w:tcPr>
          <w:p w:rsidR="00B52603" w:rsidRPr="00EB198A" w:rsidRDefault="00B52603" w:rsidP="00D93354">
            <w:pPr>
              <w:rPr>
                <w:sz w:val="18"/>
                <w:szCs w:val="18"/>
              </w:rPr>
            </w:pPr>
            <w:r w:rsidRPr="00EB198A">
              <w:rPr>
                <w:sz w:val="18"/>
                <w:szCs w:val="18"/>
              </w:rPr>
              <w:t>Related legislation (112th Congress): Subtitle B (Teacher Stabilization) of S. 1549, the American Jobs Act of 2011.</w:t>
            </w:r>
          </w:p>
        </w:tc>
      </w:tr>
      <w:tr w:rsidR="00B52603" w:rsidRPr="004943A4" w:rsidTr="00D93354">
        <w:trPr>
          <w:trHeight w:val="56"/>
        </w:trPr>
        <w:tc>
          <w:tcPr>
            <w:tcW w:w="816" w:type="dxa"/>
            <w:vAlign w:val="bottom"/>
          </w:tcPr>
          <w:p w:rsidR="00B52603" w:rsidRPr="00EB198A" w:rsidRDefault="00B52603" w:rsidP="00D93354">
            <w:pPr>
              <w:jc w:val="right"/>
              <w:rPr>
                <w:color w:val="000000"/>
                <w:sz w:val="18"/>
                <w:szCs w:val="18"/>
              </w:rPr>
            </w:pPr>
            <w:r w:rsidRPr="00EB198A">
              <w:rPr>
                <w:color w:val="000000"/>
                <w:sz w:val="18"/>
                <w:szCs w:val="18"/>
              </w:rPr>
              <w:t>5</w:t>
            </w:r>
          </w:p>
        </w:tc>
        <w:tc>
          <w:tcPr>
            <w:tcW w:w="3600" w:type="dxa"/>
          </w:tcPr>
          <w:p w:rsidR="00B52603" w:rsidRPr="00EB198A" w:rsidRDefault="00B52603" w:rsidP="00D93354">
            <w:pPr>
              <w:rPr>
                <w:sz w:val="18"/>
                <w:szCs w:val="18"/>
              </w:rPr>
            </w:pPr>
            <w:r>
              <w:rPr>
                <w:sz w:val="18"/>
                <w:szCs w:val="18"/>
              </w:rPr>
              <w:t>“</w:t>
            </w:r>
            <w:r w:rsidRPr="00EB198A">
              <w:rPr>
                <w:sz w:val="18"/>
                <w:szCs w:val="18"/>
              </w:rPr>
              <w:t>... [T]this Congress needs to ... give more young people the chance to earn their way through college by doubling the number of work-study jobs in the next five years.</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w:t>
            </w:r>
            <w:r w:rsidRPr="00EB198A">
              <w:rPr>
                <w:sz w:val="18"/>
                <w:szCs w:val="18"/>
              </w:rPr>
              <w:t>0.706</w:t>
            </w:r>
          </w:p>
        </w:tc>
        <w:tc>
          <w:tcPr>
            <w:tcW w:w="4500" w:type="dxa"/>
          </w:tcPr>
          <w:p w:rsidR="00B52603" w:rsidRDefault="00B52603" w:rsidP="00D93354">
            <w:pPr>
              <w:rPr>
                <w:sz w:val="18"/>
                <w:szCs w:val="18"/>
              </w:rPr>
            </w:pPr>
            <w:r>
              <w:rPr>
                <w:sz w:val="18"/>
                <w:szCs w:val="18"/>
              </w:rPr>
              <w:t xml:space="preserve">In FY 2011, the Federal Work-Study program was budgeted at </w:t>
            </w:r>
            <w:r w:rsidRPr="003D60B5">
              <w:rPr>
                <w:sz w:val="18"/>
                <w:szCs w:val="18"/>
              </w:rPr>
              <w:t>$97</w:t>
            </w:r>
            <w:r>
              <w:rPr>
                <w:sz w:val="18"/>
                <w:szCs w:val="18"/>
              </w:rPr>
              <w:t>9 million and issued 711,588 awards.</w:t>
            </w:r>
          </w:p>
          <w:p w:rsidR="00B52603" w:rsidRDefault="00B52603" w:rsidP="00D93354">
            <w:pPr>
              <w:rPr>
                <w:sz w:val="18"/>
                <w:szCs w:val="18"/>
              </w:rPr>
            </w:pPr>
            <w:r w:rsidRPr="003D60B5">
              <w:rPr>
                <w:sz w:val="18"/>
                <w:szCs w:val="18"/>
              </w:rPr>
              <w:t>http://www2.ed.gov/programs/fws/funding.html</w:t>
            </w:r>
          </w:p>
          <w:p w:rsidR="00B52603" w:rsidRDefault="00B52603" w:rsidP="00D93354">
            <w:pPr>
              <w:rPr>
                <w:sz w:val="18"/>
                <w:szCs w:val="18"/>
              </w:rPr>
            </w:pPr>
          </w:p>
          <w:p w:rsidR="00B52603" w:rsidRDefault="00B52603" w:rsidP="00D93354">
            <w:pPr>
              <w:rPr>
                <w:sz w:val="18"/>
                <w:szCs w:val="18"/>
              </w:rPr>
            </w:pPr>
            <w:r w:rsidRPr="00EB198A">
              <w:rPr>
                <w:sz w:val="18"/>
                <w:szCs w:val="18"/>
              </w:rPr>
              <w:t xml:space="preserve">Section 106 (Student Jobs Corps) of </w:t>
            </w:r>
            <w:r>
              <w:rPr>
                <w:sz w:val="18"/>
                <w:szCs w:val="18"/>
              </w:rPr>
              <w:t xml:space="preserve">H.R. 3638, the </w:t>
            </w:r>
            <w:r w:rsidRPr="00EB198A">
              <w:rPr>
                <w:sz w:val="18"/>
                <w:szCs w:val="18"/>
              </w:rPr>
              <w:t>Act for the 99%</w:t>
            </w:r>
            <w:r>
              <w:rPr>
                <w:sz w:val="18"/>
                <w:szCs w:val="18"/>
              </w:rPr>
              <w:t xml:space="preserve"> (112</w:t>
            </w:r>
            <w:r w:rsidRPr="00EB198A">
              <w:rPr>
                <w:sz w:val="18"/>
                <w:szCs w:val="18"/>
              </w:rPr>
              <w:t>th</w:t>
            </w:r>
            <w:r>
              <w:rPr>
                <w:sz w:val="18"/>
                <w:szCs w:val="18"/>
              </w:rPr>
              <w:t xml:space="preserve"> Congress), would increase spending by $425 million</w:t>
            </w:r>
            <w:r w:rsidRPr="003D60B5">
              <w:rPr>
                <w:sz w:val="18"/>
                <w:szCs w:val="18"/>
              </w:rPr>
              <w:t xml:space="preserve"> for </w:t>
            </w:r>
            <w:r>
              <w:rPr>
                <w:sz w:val="18"/>
                <w:szCs w:val="18"/>
              </w:rPr>
              <w:t>two</w:t>
            </w:r>
            <w:r w:rsidRPr="003D60B5">
              <w:rPr>
                <w:sz w:val="18"/>
                <w:szCs w:val="18"/>
              </w:rPr>
              <w:t xml:space="preserve"> years to </w:t>
            </w:r>
            <w:proofErr w:type="gramStart"/>
            <w:r>
              <w:rPr>
                <w:sz w:val="18"/>
                <w:szCs w:val="18"/>
              </w:rPr>
              <w:t xml:space="preserve">provide </w:t>
            </w:r>
            <w:r w:rsidRPr="003D60B5">
              <w:rPr>
                <w:sz w:val="18"/>
                <w:szCs w:val="18"/>
              </w:rPr>
              <w:t xml:space="preserve"> an</w:t>
            </w:r>
            <w:proofErr w:type="gramEnd"/>
            <w:r w:rsidRPr="003D60B5">
              <w:rPr>
                <w:sz w:val="18"/>
                <w:szCs w:val="18"/>
              </w:rPr>
              <w:t xml:space="preserve"> additional 250</w:t>
            </w:r>
            <w:r>
              <w:rPr>
                <w:sz w:val="18"/>
                <w:szCs w:val="18"/>
              </w:rPr>
              <w:t>,000</w:t>
            </w:r>
            <w:r w:rsidRPr="003D60B5">
              <w:rPr>
                <w:sz w:val="18"/>
                <w:szCs w:val="18"/>
              </w:rPr>
              <w:t xml:space="preserve"> </w:t>
            </w:r>
            <w:r>
              <w:rPr>
                <w:sz w:val="18"/>
                <w:szCs w:val="18"/>
              </w:rPr>
              <w:t>federal W</w:t>
            </w:r>
            <w:r w:rsidRPr="003D60B5">
              <w:rPr>
                <w:sz w:val="18"/>
                <w:szCs w:val="18"/>
              </w:rPr>
              <w:t>ork-</w:t>
            </w:r>
            <w:r>
              <w:rPr>
                <w:sz w:val="18"/>
                <w:szCs w:val="18"/>
              </w:rPr>
              <w:t>S</w:t>
            </w:r>
            <w:r w:rsidRPr="003D60B5">
              <w:rPr>
                <w:sz w:val="18"/>
                <w:szCs w:val="18"/>
              </w:rPr>
              <w:t>tudy jobs.</w:t>
            </w:r>
          </w:p>
          <w:p w:rsidR="00B52603" w:rsidRDefault="00B52603" w:rsidP="00D93354">
            <w:pPr>
              <w:rPr>
                <w:sz w:val="18"/>
                <w:szCs w:val="18"/>
              </w:rPr>
            </w:pPr>
          </w:p>
          <w:p w:rsidR="00B52603" w:rsidRPr="000A4901" w:rsidRDefault="00B52603" w:rsidP="00D93354">
            <w:pPr>
              <w:rPr>
                <w:sz w:val="18"/>
                <w:szCs w:val="18"/>
              </w:rPr>
            </w:pPr>
            <w:r>
              <w:rPr>
                <w:sz w:val="18"/>
                <w:szCs w:val="18"/>
              </w:rPr>
              <w:t>NTUF estimates that a total of approximately $3.6 billion would have to be spent to double the number of federal Work-Study jobs in five years.</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lastRenderedPageBreak/>
              <w:t>6</w:t>
            </w:r>
          </w:p>
        </w:tc>
        <w:tc>
          <w:tcPr>
            <w:tcW w:w="3600" w:type="dxa"/>
          </w:tcPr>
          <w:p w:rsidR="00B52603" w:rsidRPr="00EB198A" w:rsidRDefault="00B52603" w:rsidP="00D93354">
            <w:pPr>
              <w:rPr>
                <w:sz w:val="18"/>
                <w:szCs w:val="18"/>
              </w:rPr>
            </w:pPr>
            <w:r>
              <w:rPr>
                <w:sz w:val="18"/>
                <w:szCs w:val="18"/>
              </w:rPr>
              <w:t>“</w:t>
            </w:r>
            <w:r w:rsidRPr="00EB198A">
              <w:rPr>
                <w:sz w:val="18"/>
                <w:szCs w:val="18"/>
              </w:rPr>
              <w:t>We should be working on comprehensive immigration reform right now.   But if election-year politics keeps Congress from acting on a comprehensive plan, let’s at least agree to stop expelling responsible young people who want to staff our labs, start new businesses, and defend this country.  Send me a law that gives them the chance to earn their citizenship.  I will sign it right away.</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$0.059</w:t>
            </w:r>
          </w:p>
        </w:tc>
        <w:tc>
          <w:tcPr>
            <w:tcW w:w="4500" w:type="dxa"/>
          </w:tcPr>
          <w:p w:rsidR="00B52603" w:rsidRDefault="00B52603" w:rsidP="00D93354">
            <w:pPr>
              <w:rPr>
                <w:sz w:val="18"/>
                <w:szCs w:val="18"/>
              </w:rPr>
            </w:pPr>
            <w:r w:rsidRPr="00EB198A">
              <w:rPr>
                <w:sz w:val="18"/>
                <w:szCs w:val="18"/>
              </w:rPr>
              <w:t xml:space="preserve">CBO cost estimate for S. 3992, the </w:t>
            </w:r>
            <w:r>
              <w:rPr>
                <w:sz w:val="18"/>
                <w:szCs w:val="18"/>
              </w:rPr>
              <w:t>“</w:t>
            </w:r>
            <w:r w:rsidRPr="00EB198A">
              <w:rPr>
                <w:sz w:val="18"/>
                <w:szCs w:val="18"/>
              </w:rPr>
              <w:t>Development, Relief, and Education for Alien Minors Act of 2010.</w:t>
            </w:r>
            <w:r>
              <w:rPr>
                <w:sz w:val="18"/>
                <w:szCs w:val="18"/>
              </w:rPr>
              <w:t>”</w:t>
            </w:r>
            <w:r w:rsidRPr="00EB198A">
              <w:rPr>
                <w:sz w:val="18"/>
                <w:szCs w:val="18"/>
              </w:rPr>
              <w:t xml:space="preserve"> $236 million from FY 2012-2015. http://www.cbo.gov</w:t>
            </w:r>
            <w:r>
              <w:rPr>
                <w:sz w:val="18"/>
                <w:szCs w:val="18"/>
              </w:rPr>
              <w:t>/doc.cfm?index=12012&amp;zzz=41449</w:t>
            </w:r>
          </w:p>
          <w:p w:rsidR="00B52603" w:rsidRDefault="00B52603" w:rsidP="00D93354">
            <w:pPr>
              <w:rPr>
                <w:sz w:val="18"/>
                <w:szCs w:val="18"/>
              </w:rPr>
            </w:pPr>
          </w:p>
          <w:p w:rsidR="00B52603" w:rsidRDefault="00B52603" w:rsidP="00D93354">
            <w:pPr>
              <w:rPr>
                <w:sz w:val="18"/>
                <w:szCs w:val="18"/>
              </w:rPr>
            </w:pPr>
            <w:r w:rsidRPr="00EB198A">
              <w:rPr>
                <w:sz w:val="18"/>
                <w:szCs w:val="18"/>
              </w:rPr>
              <w:t>Additional possible cost: S. 2611 (109th Congress), the Comprehensive Immigration Reform Act of 2006, would have created a process for long-time illegal aliens to gain citizenship, and it would have created a temporary worker program. CBO estimated that the bill would have increased mandatory spending for federal benefit programs such as Medicaid, Social Security, Medicare, and Food Stamps by $12.9 billion over five years. In addition, enforcement and border security provisions would have cost</w:t>
            </w:r>
            <w:r>
              <w:rPr>
                <w:sz w:val="18"/>
                <w:szCs w:val="18"/>
              </w:rPr>
              <w:t xml:space="preserve"> $25.2 billion over five years. Then-</w:t>
            </w:r>
            <w:r w:rsidRPr="00EB198A">
              <w:rPr>
                <w:sz w:val="18"/>
                <w:szCs w:val="18"/>
              </w:rPr>
              <w:t xml:space="preserve">Senator </w:t>
            </w:r>
            <w:r>
              <w:rPr>
                <w:sz w:val="18"/>
                <w:szCs w:val="18"/>
              </w:rPr>
              <w:t xml:space="preserve">Barack </w:t>
            </w:r>
            <w:r w:rsidRPr="00EB198A">
              <w:rPr>
                <w:sz w:val="18"/>
                <w:szCs w:val="18"/>
              </w:rPr>
              <w:t>Obama voted for passage.</w:t>
            </w:r>
          </w:p>
          <w:p w:rsidR="00B52603" w:rsidRPr="00EB198A" w:rsidRDefault="00B52603" w:rsidP="00D93354">
            <w:pPr>
              <w:rPr>
                <w:sz w:val="18"/>
                <w:szCs w:val="18"/>
              </w:rPr>
            </w:pPr>
            <w:r w:rsidRPr="00EB198A">
              <w:rPr>
                <w:sz w:val="18"/>
                <w:szCs w:val="18"/>
              </w:rPr>
              <w:t>http://www.cbo.gov/doc.cfm?index=7501&amp;zzz=34050</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7</w:t>
            </w:r>
          </w:p>
        </w:tc>
        <w:tc>
          <w:tcPr>
            <w:tcW w:w="3600" w:type="dxa"/>
          </w:tcPr>
          <w:p w:rsidR="00B52603" w:rsidRPr="00EB198A" w:rsidRDefault="00B52603" w:rsidP="00D93354">
            <w:pPr>
              <w:rPr>
                <w:sz w:val="18"/>
                <w:szCs w:val="18"/>
              </w:rPr>
            </w:pPr>
            <w:r>
              <w:rPr>
                <w:sz w:val="18"/>
                <w:szCs w:val="18"/>
              </w:rPr>
              <w:t>“</w:t>
            </w:r>
            <w:r w:rsidRPr="00EB198A">
              <w:rPr>
                <w:sz w:val="18"/>
                <w:szCs w:val="18"/>
              </w:rPr>
              <w:t xml:space="preserve"> ... I’m directing my Administration to open more than 75 percent of our potential offshore oil and gas resources.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Unknown.</w:t>
            </w:r>
          </w:p>
        </w:tc>
        <w:tc>
          <w:tcPr>
            <w:tcW w:w="4500" w:type="dxa"/>
          </w:tcPr>
          <w:p w:rsidR="00B52603" w:rsidRPr="00EB198A" w:rsidRDefault="00B52603" w:rsidP="00D93354">
            <w:pPr>
              <w:rPr>
                <w:sz w:val="18"/>
                <w:szCs w:val="18"/>
              </w:rPr>
            </w:pPr>
            <w:r w:rsidRPr="00EB198A">
              <w:rPr>
                <w:sz w:val="18"/>
                <w:szCs w:val="18"/>
              </w:rPr>
              <w:t xml:space="preserve">Could increase offsetting receipts </w:t>
            </w:r>
            <w:r>
              <w:rPr>
                <w:sz w:val="18"/>
                <w:szCs w:val="18"/>
              </w:rPr>
              <w:t xml:space="preserve">(which CBO counts as negative outlays) </w:t>
            </w:r>
            <w:r w:rsidRPr="00EB198A">
              <w:rPr>
                <w:sz w:val="18"/>
                <w:szCs w:val="18"/>
              </w:rPr>
              <w:t>if permits are issued.</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8</w:t>
            </w:r>
          </w:p>
        </w:tc>
        <w:tc>
          <w:tcPr>
            <w:tcW w:w="3600" w:type="dxa"/>
          </w:tcPr>
          <w:p w:rsidR="00B52603" w:rsidRPr="00EB198A" w:rsidRDefault="00B52603" w:rsidP="00D93354">
            <w:pPr>
              <w:rPr>
                <w:sz w:val="18"/>
                <w:szCs w:val="18"/>
              </w:rPr>
            </w:pPr>
            <w:r>
              <w:rPr>
                <w:sz w:val="18"/>
                <w:szCs w:val="18"/>
              </w:rPr>
              <w:t>“</w:t>
            </w:r>
            <w:r w:rsidRPr="00EB198A">
              <w:rPr>
                <w:sz w:val="18"/>
                <w:szCs w:val="18"/>
              </w:rPr>
              <w:t>I’m directing my Administration to allow the development of clean energy on enough public land to power three million homes.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Unknown.</w:t>
            </w:r>
          </w:p>
        </w:tc>
        <w:tc>
          <w:tcPr>
            <w:tcW w:w="4500" w:type="dxa"/>
          </w:tcPr>
          <w:p w:rsidR="00B52603" w:rsidRPr="00EB198A" w:rsidRDefault="00B52603" w:rsidP="00D93354">
            <w:pPr>
              <w:rPr>
                <w:sz w:val="18"/>
                <w:szCs w:val="18"/>
              </w:rPr>
            </w:pPr>
            <w:r>
              <w:rPr>
                <w:sz w:val="18"/>
                <w:szCs w:val="18"/>
              </w:rPr>
              <w:t>Insufficient detail to determine whether this proposal involves loans, subsidies, or some other kind of federal involvement affecting outlays.</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9</w:t>
            </w:r>
          </w:p>
        </w:tc>
        <w:tc>
          <w:tcPr>
            <w:tcW w:w="3600" w:type="dxa"/>
          </w:tcPr>
          <w:p w:rsidR="00B52603" w:rsidRPr="00EB198A" w:rsidRDefault="00B52603" w:rsidP="00D93354">
            <w:pPr>
              <w:rPr>
                <w:sz w:val="18"/>
                <w:szCs w:val="18"/>
              </w:rPr>
            </w:pPr>
            <w:r>
              <w:rPr>
                <w:sz w:val="18"/>
                <w:szCs w:val="18"/>
              </w:rPr>
              <w:t>“</w:t>
            </w:r>
            <w:r w:rsidRPr="00EB198A">
              <w:rPr>
                <w:sz w:val="18"/>
                <w:szCs w:val="18"/>
              </w:rPr>
              <w:t>Of course, the easiest way to save money is to waste less energy.  So here’s another proposal:  Help manufacturers eliminate energy waste in their factories and give businesses incentives to upgrade their buildings.</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w:t>
            </w:r>
            <w:r w:rsidRPr="00EB198A">
              <w:rPr>
                <w:sz w:val="18"/>
                <w:szCs w:val="18"/>
              </w:rPr>
              <w:t>0.249</w:t>
            </w:r>
          </w:p>
        </w:tc>
        <w:tc>
          <w:tcPr>
            <w:tcW w:w="4500" w:type="dxa"/>
          </w:tcPr>
          <w:p w:rsidR="00B52603" w:rsidRPr="00EB198A" w:rsidRDefault="00B52603" w:rsidP="00D93354">
            <w:pPr>
              <w:rPr>
                <w:sz w:val="18"/>
                <w:szCs w:val="18"/>
              </w:rPr>
            </w:pPr>
            <w:r w:rsidRPr="00EB198A">
              <w:rPr>
                <w:sz w:val="18"/>
                <w:szCs w:val="18"/>
              </w:rPr>
              <w:t xml:space="preserve">CBO cost estimate for S. 1000, </w:t>
            </w:r>
            <w:r w:rsidRPr="00EB198A">
              <w:rPr>
                <w:sz w:val="18"/>
                <w:szCs w:val="18"/>
              </w:rPr>
              <w:br/>
              <w:t>the Energy Savings and Industrial Competitiveness Act of 2011. http://www.cbo.gov/ftpdocs/124xx/doc12402/s1000mc.pdf</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10</w:t>
            </w:r>
          </w:p>
        </w:tc>
        <w:tc>
          <w:tcPr>
            <w:tcW w:w="3600" w:type="dxa"/>
          </w:tcPr>
          <w:p w:rsidR="00B52603" w:rsidRPr="00EB198A" w:rsidRDefault="00B52603" w:rsidP="00D93354">
            <w:pPr>
              <w:rPr>
                <w:sz w:val="18"/>
                <w:szCs w:val="18"/>
              </w:rPr>
            </w:pPr>
            <w:r>
              <w:rPr>
                <w:sz w:val="18"/>
                <w:szCs w:val="18"/>
              </w:rPr>
              <w:t>“</w:t>
            </w:r>
            <w:r w:rsidRPr="00EB198A">
              <w:rPr>
                <w:sz w:val="18"/>
                <w:szCs w:val="18"/>
              </w:rPr>
              <w:t>Building this new energy future should be just one part of a broader agenda to repair America’s infrastructure. ... Take the money we’re no longer spending at war, use half of it to pay down our debt, and use the rest to do some nation-building right here at home.</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w:t>
            </w:r>
            <w:r w:rsidRPr="00EB198A">
              <w:rPr>
                <w:sz w:val="18"/>
                <w:szCs w:val="18"/>
              </w:rPr>
              <w:t>11.074</w:t>
            </w:r>
          </w:p>
        </w:tc>
        <w:tc>
          <w:tcPr>
            <w:tcW w:w="4500" w:type="dxa"/>
          </w:tcPr>
          <w:p w:rsidR="00B52603" w:rsidRDefault="00B52603" w:rsidP="00D93354">
            <w:pPr>
              <w:rPr>
                <w:sz w:val="18"/>
                <w:szCs w:val="18"/>
              </w:rPr>
            </w:pPr>
            <w:r w:rsidRPr="00EB198A">
              <w:rPr>
                <w:sz w:val="18"/>
                <w:szCs w:val="18"/>
              </w:rPr>
              <w:t xml:space="preserve">CBO cost estimate for infrastructure spending in </w:t>
            </w:r>
            <w:r>
              <w:rPr>
                <w:sz w:val="18"/>
                <w:szCs w:val="18"/>
              </w:rPr>
              <w:t xml:space="preserve">S. 1549, the American Jobs Act (112th Congress). </w:t>
            </w:r>
            <w:r w:rsidRPr="00EB198A">
              <w:rPr>
                <w:sz w:val="18"/>
                <w:szCs w:val="18"/>
              </w:rPr>
              <w:t xml:space="preserve">Sections used include Subtitle E </w:t>
            </w:r>
            <w:r>
              <w:rPr>
                <w:sz w:val="18"/>
                <w:szCs w:val="18"/>
              </w:rPr>
              <w:t>(</w:t>
            </w:r>
            <w:r w:rsidRPr="00EB198A">
              <w:rPr>
                <w:sz w:val="18"/>
                <w:szCs w:val="18"/>
              </w:rPr>
              <w:t>Immediate Transportation</w:t>
            </w:r>
            <w:r>
              <w:rPr>
                <w:sz w:val="18"/>
                <w:szCs w:val="18"/>
              </w:rPr>
              <w:t>)</w:t>
            </w:r>
            <w:r w:rsidRPr="00EB198A">
              <w:rPr>
                <w:sz w:val="18"/>
                <w:szCs w:val="18"/>
              </w:rPr>
              <w:t xml:space="preserve">, Subtitle F </w:t>
            </w:r>
            <w:r>
              <w:rPr>
                <w:sz w:val="18"/>
                <w:szCs w:val="18"/>
              </w:rPr>
              <w:t>(</w:t>
            </w:r>
            <w:r w:rsidRPr="00EB198A">
              <w:rPr>
                <w:sz w:val="18"/>
                <w:szCs w:val="18"/>
              </w:rPr>
              <w:t>Infrastructure</w:t>
            </w:r>
            <w:r>
              <w:rPr>
                <w:sz w:val="18"/>
                <w:szCs w:val="18"/>
              </w:rPr>
              <w:t>: Long-Term</w:t>
            </w:r>
            <w:proofErr w:type="gramStart"/>
            <w:r>
              <w:rPr>
                <w:sz w:val="18"/>
                <w:szCs w:val="18"/>
              </w:rPr>
              <w:t xml:space="preserve">) </w:t>
            </w:r>
            <w:r w:rsidRPr="00EB198A">
              <w:rPr>
                <w:sz w:val="18"/>
                <w:szCs w:val="18"/>
              </w:rPr>
              <w:t>,</w:t>
            </w:r>
            <w:proofErr w:type="gramEnd"/>
            <w:r w:rsidRPr="00EB198A">
              <w:rPr>
                <w:sz w:val="18"/>
                <w:szCs w:val="18"/>
              </w:rPr>
              <w:t xml:space="preserve"> and Subtitle G </w:t>
            </w:r>
            <w:r>
              <w:rPr>
                <w:sz w:val="18"/>
                <w:szCs w:val="18"/>
              </w:rPr>
              <w:t>(</w:t>
            </w:r>
            <w:r w:rsidRPr="00EB198A">
              <w:rPr>
                <w:sz w:val="18"/>
                <w:szCs w:val="18"/>
              </w:rPr>
              <w:t>Project Rebuild</w:t>
            </w:r>
            <w:r>
              <w:rPr>
                <w:sz w:val="18"/>
                <w:szCs w:val="18"/>
              </w:rPr>
              <w:t>)</w:t>
            </w:r>
            <w:r w:rsidRPr="00EB198A">
              <w:rPr>
                <w:sz w:val="18"/>
                <w:szCs w:val="18"/>
              </w:rPr>
              <w:t>. http://www.cbo.gov/ftpdocs/124xx/doc12462/s1549ReidLtr.pdf</w:t>
            </w:r>
          </w:p>
          <w:p w:rsidR="00B52603" w:rsidRDefault="00B52603" w:rsidP="00D93354">
            <w:pPr>
              <w:rPr>
                <w:sz w:val="18"/>
                <w:szCs w:val="18"/>
              </w:rPr>
            </w:pPr>
          </w:p>
          <w:p w:rsidR="00B52603" w:rsidRPr="00EB198A" w:rsidRDefault="00B52603" w:rsidP="00D93354">
            <w:pPr>
              <w:rPr>
                <w:sz w:val="18"/>
                <w:szCs w:val="18"/>
              </w:rPr>
            </w:pPr>
            <w:r>
              <w:rPr>
                <w:sz w:val="18"/>
                <w:szCs w:val="18"/>
              </w:rPr>
              <w:t>Note: The reduction in war spending is not included as a savings since it is the result of previous policies and does not represent a new proposal.</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11</w:t>
            </w:r>
          </w:p>
        </w:tc>
        <w:tc>
          <w:tcPr>
            <w:tcW w:w="3600" w:type="dxa"/>
          </w:tcPr>
          <w:p w:rsidR="00B52603" w:rsidRPr="00EB198A" w:rsidRDefault="00B52603" w:rsidP="00D93354">
            <w:pPr>
              <w:rPr>
                <w:sz w:val="18"/>
                <w:szCs w:val="18"/>
              </w:rPr>
            </w:pPr>
            <w:r>
              <w:rPr>
                <w:sz w:val="18"/>
                <w:szCs w:val="18"/>
              </w:rPr>
              <w:t>“</w:t>
            </w:r>
            <w:r w:rsidRPr="00EB198A">
              <w:rPr>
                <w:sz w:val="18"/>
                <w:szCs w:val="18"/>
              </w:rPr>
              <w:t>I’m sending this Congress a plan that gives every responsible homeowner the chance to save about $3,000 a year on their mortgage, by refinancing at historically low interest rates.  No more red tape.  No more runaround from the banks.  A small fee on the largest financial institutions will ensure that it won’t add to the deficit, and will give banks that were rescued by taxpayers a chance to repay a deficit of trust.</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$2</w:t>
            </w:r>
          </w:p>
        </w:tc>
        <w:tc>
          <w:tcPr>
            <w:tcW w:w="4500" w:type="dxa"/>
          </w:tcPr>
          <w:p w:rsidR="00B52603" w:rsidRDefault="00B52603" w:rsidP="00D93354">
            <w:pPr>
              <w:rPr>
                <w:sz w:val="18"/>
                <w:szCs w:val="18"/>
              </w:rPr>
            </w:pPr>
            <w:r w:rsidRPr="00830015">
              <w:rPr>
                <w:i/>
                <w:sz w:val="18"/>
                <w:szCs w:val="18"/>
              </w:rPr>
              <w:t>New York Times</w:t>
            </w:r>
            <w:r w:rsidRPr="00EB198A">
              <w:rPr>
                <w:sz w:val="18"/>
                <w:szCs w:val="18"/>
              </w:rPr>
              <w:t xml:space="preserve">: </w:t>
            </w:r>
            <w:r>
              <w:rPr>
                <w:sz w:val="18"/>
                <w:szCs w:val="18"/>
              </w:rPr>
              <w:t>“</w:t>
            </w:r>
            <w:r w:rsidRPr="00EB198A">
              <w:rPr>
                <w:sz w:val="18"/>
                <w:szCs w:val="18"/>
              </w:rPr>
              <w:t>The [Administration] official estimated that the program could benefit two million to three million homeowners who have loans that are not guaranteed by the government, and that the program’s cost would not exceed $10 billion.</w:t>
            </w:r>
            <w:r>
              <w:rPr>
                <w:sz w:val="18"/>
                <w:szCs w:val="18"/>
              </w:rPr>
              <w:t>”</w:t>
            </w:r>
            <w:r w:rsidRPr="00EB198A">
              <w:rPr>
                <w:sz w:val="18"/>
                <w:szCs w:val="18"/>
              </w:rPr>
              <w:t xml:space="preserve"> http://www.nytimes.com/2012/01/25/us/politics/obama-mortgage-plan-would-broaden-government-backed-loans.html. </w:t>
            </w:r>
          </w:p>
          <w:p w:rsidR="00B52603" w:rsidRDefault="00B52603" w:rsidP="00D93354">
            <w:pPr>
              <w:rPr>
                <w:sz w:val="18"/>
                <w:szCs w:val="18"/>
              </w:rPr>
            </w:pPr>
          </w:p>
          <w:p w:rsidR="00B52603" w:rsidRPr="00EB198A" w:rsidRDefault="00B52603" w:rsidP="00D93354">
            <w:pPr>
              <w:rPr>
                <w:sz w:val="18"/>
                <w:szCs w:val="18"/>
              </w:rPr>
            </w:pPr>
            <w:r>
              <w:rPr>
                <w:sz w:val="18"/>
                <w:szCs w:val="18"/>
              </w:rPr>
              <w:t>This e</w:t>
            </w:r>
            <w:r w:rsidRPr="00EB198A">
              <w:rPr>
                <w:sz w:val="18"/>
                <w:szCs w:val="18"/>
              </w:rPr>
              <w:t xml:space="preserve">stimate assumes a 5-year program, and that the </w:t>
            </w:r>
            <w:r>
              <w:rPr>
                <w:sz w:val="18"/>
                <w:szCs w:val="18"/>
              </w:rPr>
              <w:t>“</w:t>
            </w:r>
            <w:r w:rsidRPr="00EB198A">
              <w:rPr>
                <w:sz w:val="18"/>
                <w:szCs w:val="18"/>
              </w:rPr>
              <w:t>fee</w:t>
            </w:r>
            <w:r>
              <w:rPr>
                <w:sz w:val="18"/>
                <w:szCs w:val="18"/>
              </w:rPr>
              <w:t>”</w:t>
            </w:r>
            <w:r w:rsidRPr="00EB198A">
              <w:rPr>
                <w:sz w:val="18"/>
                <w:szCs w:val="18"/>
              </w:rPr>
              <w:t xml:space="preserve"> would be scored in the budget as tax revenues, not </w:t>
            </w:r>
            <w:r>
              <w:rPr>
                <w:sz w:val="18"/>
                <w:szCs w:val="18"/>
              </w:rPr>
              <w:t xml:space="preserve">as </w:t>
            </w:r>
            <w:r w:rsidRPr="00EB198A">
              <w:rPr>
                <w:sz w:val="18"/>
                <w:szCs w:val="18"/>
              </w:rPr>
              <w:t>offsetting receipts.</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12</w:t>
            </w:r>
          </w:p>
        </w:tc>
        <w:tc>
          <w:tcPr>
            <w:tcW w:w="3600" w:type="dxa"/>
          </w:tcPr>
          <w:p w:rsidR="00B52603" w:rsidRPr="00EB198A" w:rsidRDefault="00B52603" w:rsidP="00D93354">
            <w:pPr>
              <w:rPr>
                <w:sz w:val="18"/>
                <w:szCs w:val="18"/>
              </w:rPr>
            </w:pPr>
            <w:r>
              <w:rPr>
                <w:sz w:val="18"/>
                <w:szCs w:val="18"/>
              </w:rPr>
              <w:t>“</w:t>
            </w:r>
            <w:r w:rsidRPr="00EB198A">
              <w:rPr>
                <w:sz w:val="18"/>
                <w:szCs w:val="18"/>
              </w:rPr>
              <w:t>We will also establish a Financial Crimes Unit of highly trained investigators to crack down on large-scale fraud and protect people’s investments.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Unknown.</w:t>
            </w:r>
          </w:p>
        </w:tc>
        <w:tc>
          <w:tcPr>
            <w:tcW w:w="4500" w:type="dxa"/>
          </w:tcPr>
          <w:p w:rsidR="00B52603" w:rsidRPr="00EB198A" w:rsidRDefault="00B52603" w:rsidP="00D93354">
            <w:pPr>
              <w:rPr>
                <w:sz w:val="18"/>
                <w:szCs w:val="18"/>
              </w:rPr>
            </w:pPr>
            <w:r>
              <w:rPr>
                <w:sz w:val="18"/>
                <w:szCs w:val="18"/>
              </w:rPr>
              <w:t>Insufficient detail to determine whether this proposal involves new hiring and investigative resources, or whether it would be funded from existing agency budgets.</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13</w:t>
            </w:r>
          </w:p>
        </w:tc>
        <w:tc>
          <w:tcPr>
            <w:tcW w:w="3600" w:type="dxa"/>
          </w:tcPr>
          <w:p w:rsidR="00B52603" w:rsidRPr="00EB198A" w:rsidRDefault="00B52603" w:rsidP="00D93354">
            <w:pPr>
              <w:rPr>
                <w:sz w:val="18"/>
                <w:szCs w:val="18"/>
              </w:rPr>
            </w:pPr>
            <w:r>
              <w:rPr>
                <w:sz w:val="18"/>
                <w:szCs w:val="18"/>
              </w:rPr>
              <w:t>“</w:t>
            </w:r>
            <w:r w:rsidRPr="00EB198A">
              <w:rPr>
                <w:sz w:val="18"/>
                <w:szCs w:val="18"/>
              </w:rPr>
              <w:t xml:space="preserve">... I am asking my Attorney General to create a special unit of federal prosecutors and leading state attorneys general to expand our investigations into the abusive lending and </w:t>
            </w:r>
            <w:r w:rsidRPr="00EB198A">
              <w:rPr>
                <w:sz w:val="18"/>
                <w:szCs w:val="18"/>
              </w:rPr>
              <w:lastRenderedPageBreak/>
              <w:t>packaging of risky mortgages that led to the housing crisis. This new unit will hold accountable those who broke the law, speed assistance to homeowners, and help turn the page on an era of recklessness that hurt so many Americans.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lastRenderedPageBreak/>
              <w:t>Unknown.</w:t>
            </w:r>
          </w:p>
        </w:tc>
        <w:tc>
          <w:tcPr>
            <w:tcW w:w="4500" w:type="dxa"/>
          </w:tcPr>
          <w:p w:rsidR="00B52603" w:rsidRPr="00EB198A" w:rsidRDefault="00B52603" w:rsidP="00D93354">
            <w:pPr>
              <w:rPr>
                <w:sz w:val="18"/>
                <w:szCs w:val="18"/>
              </w:rPr>
            </w:pPr>
            <w:r>
              <w:rPr>
                <w:sz w:val="18"/>
                <w:szCs w:val="18"/>
              </w:rPr>
              <w:t>Insufficient detail to determine whether this proposal involves new hiring and investigative resources, or whether it would be funded from existing agency budgets.</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lastRenderedPageBreak/>
              <w:t>14</w:t>
            </w:r>
          </w:p>
        </w:tc>
        <w:tc>
          <w:tcPr>
            <w:tcW w:w="3600" w:type="dxa"/>
          </w:tcPr>
          <w:p w:rsidR="00B52603" w:rsidRPr="00EB198A" w:rsidRDefault="00B52603" w:rsidP="00D93354">
            <w:pPr>
              <w:rPr>
                <w:sz w:val="18"/>
                <w:szCs w:val="18"/>
              </w:rPr>
            </w:pPr>
            <w:r>
              <w:rPr>
                <w:sz w:val="18"/>
                <w:szCs w:val="18"/>
              </w:rPr>
              <w:t>“</w:t>
            </w:r>
            <w:r w:rsidRPr="00EB198A">
              <w:rPr>
                <w:sz w:val="18"/>
                <w:szCs w:val="18"/>
              </w:rPr>
              <w:t>... I’m prepared to make more reforms that rein in the long term costs of Medicare and Medicaid, and strengthen Social Security, so long as those programs remain a guarantee of security for seniors.</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Unknown.</w:t>
            </w:r>
          </w:p>
        </w:tc>
        <w:tc>
          <w:tcPr>
            <w:tcW w:w="4500" w:type="dxa"/>
          </w:tcPr>
          <w:p w:rsidR="00B52603" w:rsidRPr="00EB198A" w:rsidRDefault="00B52603" w:rsidP="00D93354">
            <w:pPr>
              <w:rPr>
                <w:sz w:val="18"/>
                <w:szCs w:val="18"/>
              </w:rPr>
            </w:pP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15</w:t>
            </w:r>
          </w:p>
        </w:tc>
        <w:tc>
          <w:tcPr>
            <w:tcW w:w="3600" w:type="dxa"/>
          </w:tcPr>
          <w:p w:rsidR="00B52603" w:rsidRPr="00EB198A" w:rsidRDefault="00B52603" w:rsidP="00D93354">
            <w:pPr>
              <w:rPr>
                <w:sz w:val="18"/>
                <w:szCs w:val="18"/>
              </w:rPr>
            </w:pPr>
            <w:r>
              <w:rPr>
                <w:sz w:val="18"/>
                <w:szCs w:val="18"/>
              </w:rPr>
              <w:t>“</w:t>
            </w:r>
            <w:r w:rsidRPr="00EB198A">
              <w:rPr>
                <w:sz w:val="18"/>
                <w:szCs w:val="18"/>
              </w:rPr>
              <w:t xml:space="preserve">And my Republican friend Tom Coburn is right: Washington should stop subsidizing millionaires.  In fact, if you’re earning a million dollars a year, you shouldn’t get special tax subsidies </w:t>
            </w:r>
            <w:proofErr w:type="gramStart"/>
            <w:r w:rsidRPr="00EB198A">
              <w:rPr>
                <w:sz w:val="18"/>
                <w:szCs w:val="18"/>
              </w:rPr>
              <w:t>... .</w:t>
            </w:r>
            <w:proofErr w:type="gramEnd"/>
            <w:r>
              <w:rPr>
                <w:sz w:val="18"/>
                <w:szCs w:val="18"/>
              </w:rPr>
              <w:t>”</w:t>
            </w:r>
          </w:p>
        </w:tc>
        <w:tc>
          <w:tcPr>
            <w:tcW w:w="2160" w:type="dxa"/>
            <w:vAlign w:val="bottom"/>
          </w:tcPr>
          <w:p w:rsidR="00B52603" w:rsidRPr="006D7E08" w:rsidRDefault="00B52603" w:rsidP="00D93354">
            <w:pPr>
              <w:jc w:val="center"/>
              <w:rPr>
                <w:color w:val="FF0000"/>
                <w:sz w:val="18"/>
                <w:szCs w:val="18"/>
              </w:rPr>
            </w:pPr>
            <w:r w:rsidRPr="006D7E08">
              <w:rPr>
                <w:color w:val="FF0000"/>
                <w:sz w:val="18"/>
                <w:szCs w:val="18"/>
              </w:rPr>
              <w:t>($0.08)</w:t>
            </w:r>
          </w:p>
        </w:tc>
        <w:tc>
          <w:tcPr>
            <w:tcW w:w="4500" w:type="dxa"/>
          </w:tcPr>
          <w:p w:rsidR="00B52603" w:rsidRPr="00EB198A" w:rsidRDefault="00B52603" w:rsidP="00D93354">
            <w:pPr>
              <w:rPr>
                <w:sz w:val="18"/>
                <w:szCs w:val="18"/>
              </w:rPr>
            </w:pPr>
            <w:r w:rsidRPr="00EB198A">
              <w:rPr>
                <w:sz w:val="18"/>
                <w:szCs w:val="18"/>
              </w:rPr>
              <w:t>CBO cost estimate for the direct spending changes in S. 1931</w:t>
            </w:r>
            <w:r>
              <w:rPr>
                <w:sz w:val="18"/>
                <w:szCs w:val="18"/>
              </w:rPr>
              <w:t xml:space="preserve"> (112th Congress)</w:t>
            </w:r>
            <w:r w:rsidRPr="00EB198A">
              <w:rPr>
                <w:sz w:val="18"/>
                <w:szCs w:val="18"/>
              </w:rPr>
              <w:t xml:space="preserve"> that would end unemployment and supplemental nutrition assistance program benefits for millionaires, and increase in the Medicare part B and D premiums for higher-income Medicare beneficiaries. http://www.cbo.gov/ftpdocs/125xx/doc12578/s1931.pdf</w:t>
            </w:r>
          </w:p>
        </w:tc>
      </w:tr>
      <w:tr w:rsidR="00B52603" w:rsidRPr="004943A4" w:rsidTr="00D93354">
        <w:tc>
          <w:tcPr>
            <w:tcW w:w="816" w:type="dxa"/>
            <w:vAlign w:val="bottom"/>
          </w:tcPr>
          <w:p w:rsidR="00B52603" w:rsidRPr="00EB198A" w:rsidRDefault="00B52603" w:rsidP="00D93354">
            <w:pPr>
              <w:jc w:val="right"/>
              <w:rPr>
                <w:color w:val="000000"/>
                <w:sz w:val="18"/>
                <w:szCs w:val="18"/>
              </w:rPr>
            </w:pPr>
            <w:r w:rsidRPr="00EB198A">
              <w:rPr>
                <w:color w:val="000000"/>
                <w:sz w:val="18"/>
                <w:szCs w:val="18"/>
              </w:rPr>
              <w:t>16</w:t>
            </w:r>
          </w:p>
        </w:tc>
        <w:tc>
          <w:tcPr>
            <w:tcW w:w="3600" w:type="dxa"/>
          </w:tcPr>
          <w:p w:rsidR="00B52603" w:rsidRPr="00EB198A" w:rsidRDefault="00B52603" w:rsidP="00D93354">
            <w:pPr>
              <w:rPr>
                <w:sz w:val="18"/>
                <w:szCs w:val="18"/>
              </w:rPr>
            </w:pPr>
            <w:r>
              <w:rPr>
                <w:sz w:val="18"/>
                <w:szCs w:val="18"/>
              </w:rPr>
              <w:t>“</w:t>
            </w:r>
            <w:r w:rsidRPr="00EB198A">
              <w:rPr>
                <w:sz w:val="18"/>
                <w:szCs w:val="18"/>
              </w:rPr>
              <w:t>...  I’ve asked this Congress to grant me the authority to consolidate the federal bureaucracy so that our Government is leaner, quicker, and more responsive to the needs of the American people.</w:t>
            </w:r>
            <w:r>
              <w:rPr>
                <w:sz w:val="18"/>
                <w:szCs w:val="18"/>
              </w:rPr>
              <w:t>”</w:t>
            </w:r>
          </w:p>
        </w:tc>
        <w:tc>
          <w:tcPr>
            <w:tcW w:w="2160" w:type="dxa"/>
            <w:vAlign w:val="bottom"/>
          </w:tcPr>
          <w:p w:rsidR="00B52603" w:rsidRPr="00EB198A" w:rsidRDefault="00B52603" w:rsidP="00D93354">
            <w:pPr>
              <w:jc w:val="center"/>
              <w:rPr>
                <w:sz w:val="18"/>
                <w:szCs w:val="18"/>
              </w:rPr>
            </w:pPr>
            <w:r>
              <w:rPr>
                <w:sz w:val="18"/>
                <w:szCs w:val="18"/>
              </w:rPr>
              <w:t>Unknown.</w:t>
            </w:r>
          </w:p>
        </w:tc>
        <w:tc>
          <w:tcPr>
            <w:tcW w:w="4500" w:type="dxa"/>
          </w:tcPr>
          <w:p w:rsidR="00B52603" w:rsidRPr="00EB198A" w:rsidRDefault="00B52603" w:rsidP="00D93354">
            <w:pPr>
              <w:rPr>
                <w:sz w:val="18"/>
                <w:szCs w:val="18"/>
              </w:rPr>
            </w:pPr>
            <w:r>
              <w:rPr>
                <w:sz w:val="18"/>
                <w:szCs w:val="18"/>
              </w:rPr>
              <w:t>Insufficient detail to determine what savings would be made.</w:t>
            </w:r>
          </w:p>
        </w:tc>
      </w:tr>
      <w:tr w:rsidR="00B52603" w:rsidRPr="004943A4" w:rsidTr="00D93354">
        <w:tc>
          <w:tcPr>
            <w:tcW w:w="816" w:type="dxa"/>
            <w:vAlign w:val="bottom"/>
          </w:tcPr>
          <w:p w:rsidR="00B52603" w:rsidRPr="00EB198A" w:rsidRDefault="00B52603" w:rsidP="00D93354">
            <w:pPr>
              <w:jc w:val="right"/>
              <w:rPr>
                <w:sz w:val="18"/>
                <w:szCs w:val="18"/>
              </w:rPr>
            </w:pPr>
            <w:r w:rsidRPr="00EB198A">
              <w:rPr>
                <w:sz w:val="18"/>
                <w:szCs w:val="18"/>
              </w:rPr>
              <w:t>17</w:t>
            </w:r>
          </w:p>
        </w:tc>
        <w:tc>
          <w:tcPr>
            <w:tcW w:w="3600" w:type="dxa"/>
          </w:tcPr>
          <w:p w:rsidR="00B52603" w:rsidRPr="00EB198A" w:rsidRDefault="00B52603" w:rsidP="00D93354">
            <w:pPr>
              <w:rPr>
                <w:sz w:val="18"/>
                <w:szCs w:val="18"/>
              </w:rPr>
            </w:pPr>
            <w:r>
              <w:rPr>
                <w:sz w:val="18"/>
                <w:szCs w:val="18"/>
              </w:rPr>
              <w:t>“</w:t>
            </w:r>
            <w:r w:rsidRPr="00EB198A">
              <w:rPr>
                <w:sz w:val="18"/>
                <w:szCs w:val="18"/>
              </w:rPr>
              <w:t>...  I have proposed a new defense strategy that ensures we maintain the finest military in the world, while saving nearly half a trillion dollars in our budget.</w:t>
            </w:r>
            <w:r>
              <w:rPr>
                <w:sz w:val="18"/>
                <w:szCs w:val="18"/>
              </w:rPr>
              <w:t>”</w:t>
            </w:r>
          </w:p>
        </w:tc>
        <w:tc>
          <w:tcPr>
            <w:tcW w:w="2160" w:type="dxa"/>
            <w:vAlign w:val="bottom"/>
          </w:tcPr>
          <w:p w:rsidR="00B52603" w:rsidRPr="006D7E08" w:rsidRDefault="00B52603" w:rsidP="00D93354">
            <w:pPr>
              <w:jc w:val="center"/>
              <w:rPr>
                <w:color w:val="FF0000"/>
                <w:sz w:val="18"/>
                <w:szCs w:val="18"/>
              </w:rPr>
            </w:pPr>
            <w:r w:rsidRPr="006D7E08">
              <w:rPr>
                <w:color w:val="FF0000"/>
                <w:sz w:val="18"/>
                <w:szCs w:val="18"/>
              </w:rPr>
              <w:t>($48.7)</w:t>
            </w:r>
          </w:p>
        </w:tc>
        <w:tc>
          <w:tcPr>
            <w:tcW w:w="4500" w:type="dxa"/>
          </w:tcPr>
          <w:p w:rsidR="00B52603" w:rsidRPr="00EB198A" w:rsidRDefault="00B52603" w:rsidP="00D93354">
            <w:pPr>
              <w:rPr>
                <w:sz w:val="18"/>
                <w:szCs w:val="18"/>
              </w:rPr>
            </w:pPr>
            <w:r w:rsidRPr="00EB198A">
              <w:rPr>
                <w:sz w:val="18"/>
                <w:szCs w:val="18"/>
              </w:rPr>
              <w:t>Assumed to be a savings over 10 years. http://content.usatoday.com/communities/theoval/post/2012/01/obama-defense-cuts/1</w:t>
            </w:r>
          </w:p>
        </w:tc>
      </w:tr>
      <w:tr w:rsidR="00B52603" w:rsidRPr="004943A4" w:rsidTr="00D93354">
        <w:tc>
          <w:tcPr>
            <w:tcW w:w="816" w:type="dxa"/>
            <w:vAlign w:val="bottom"/>
          </w:tcPr>
          <w:p w:rsidR="00B52603" w:rsidRPr="00EB198A" w:rsidRDefault="00B52603" w:rsidP="00D93354">
            <w:pPr>
              <w:jc w:val="right"/>
              <w:rPr>
                <w:sz w:val="18"/>
                <w:szCs w:val="18"/>
              </w:rPr>
            </w:pPr>
            <w:r w:rsidRPr="00EB198A">
              <w:rPr>
                <w:sz w:val="18"/>
                <w:szCs w:val="18"/>
              </w:rPr>
              <w:t>18</w:t>
            </w:r>
          </w:p>
        </w:tc>
        <w:tc>
          <w:tcPr>
            <w:tcW w:w="3600" w:type="dxa"/>
          </w:tcPr>
          <w:p w:rsidR="00B52603" w:rsidRPr="00EB198A" w:rsidRDefault="00B52603" w:rsidP="00D93354">
            <w:pPr>
              <w:rPr>
                <w:sz w:val="18"/>
                <w:szCs w:val="18"/>
              </w:rPr>
            </w:pPr>
            <w:r>
              <w:rPr>
                <w:sz w:val="18"/>
                <w:szCs w:val="18"/>
              </w:rPr>
              <w:t>“</w:t>
            </w:r>
            <w:r w:rsidRPr="00EB198A">
              <w:rPr>
                <w:sz w:val="18"/>
                <w:szCs w:val="18"/>
              </w:rPr>
              <w:t>I’m proposing a Veterans Job Corps that will help our communities hire veterans as cops and firefighters, so that America is as strong as those who defend her.</w:t>
            </w:r>
            <w:r>
              <w:rPr>
                <w:sz w:val="18"/>
                <w:szCs w:val="18"/>
              </w:rPr>
              <w:t>”</w:t>
            </w:r>
          </w:p>
        </w:tc>
        <w:tc>
          <w:tcPr>
            <w:tcW w:w="2160" w:type="dxa"/>
            <w:vAlign w:val="bottom"/>
          </w:tcPr>
          <w:p w:rsidR="00B52603" w:rsidRPr="00EB198A" w:rsidRDefault="00B52603" w:rsidP="00D93354">
            <w:pPr>
              <w:jc w:val="center"/>
              <w:rPr>
                <w:sz w:val="18"/>
                <w:szCs w:val="18"/>
              </w:rPr>
            </w:pPr>
            <w:r w:rsidRPr="00EB198A">
              <w:rPr>
                <w:sz w:val="18"/>
                <w:szCs w:val="18"/>
              </w:rPr>
              <w:t>Unknown.</w:t>
            </w:r>
          </w:p>
        </w:tc>
        <w:tc>
          <w:tcPr>
            <w:tcW w:w="4500" w:type="dxa"/>
          </w:tcPr>
          <w:p w:rsidR="00B52603" w:rsidRPr="00EB198A" w:rsidRDefault="00B52603" w:rsidP="00D93354">
            <w:pPr>
              <w:rPr>
                <w:sz w:val="18"/>
                <w:szCs w:val="18"/>
              </w:rPr>
            </w:pPr>
            <w:r w:rsidRPr="00EB198A">
              <w:rPr>
                <w:sz w:val="18"/>
                <w:szCs w:val="18"/>
              </w:rPr>
              <w:t xml:space="preserve">An existing Department of Labor </w:t>
            </w:r>
            <w:proofErr w:type="gramStart"/>
            <w:r w:rsidRPr="00EB198A">
              <w:rPr>
                <w:sz w:val="18"/>
                <w:szCs w:val="18"/>
              </w:rPr>
              <w:t>veterans</w:t>
            </w:r>
            <w:proofErr w:type="gramEnd"/>
            <w:r w:rsidRPr="00EB198A">
              <w:rPr>
                <w:sz w:val="18"/>
                <w:szCs w:val="18"/>
              </w:rPr>
              <w:t xml:space="preserve"> employment and training program was fu</w:t>
            </w:r>
            <w:r>
              <w:rPr>
                <w:sz w:val="18"/>
                <w:szCs w:val="18"/>
              </w:rPr>
              <w:t>nded at $210 million in FY 2011.</w:t>
            </w:r>
            <w:r w:rsidRPr="00EB198A">
              <w:rPr>
                <w:sz w:val="18"/>
                <w:szCs w:val="18"/>
              </w:rPr>
              <w:t xml:space="preserve"> http://www.whitehouse.gov/sites/default/files/o</w:t>
            </w:r>
            <w:r>
              <w:rPr>
                <w:sz w:val="18"/>
                <w:szCs w:val="18"/>
              </w:rPr>
              <w:t>mb/budget/fy2012/assets/lab.pdf</w:t>
            </w:r>
          </w:p>
        </w:tc>
      </w:tr>
    </w:tbl>
    <w:p w:rsidR="00B52603" w:rsidRDefault="00B52603"/>
    <w:p w:rsidR="00B52603" w:rsidRDefault="00B52603"/>
    <w:tbl>
      <w:tblPr>
        <w:tblW w:w="9315"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105"/>
        <w:gridCol w:w="1965"/>
        <w:gridCol w:w="2122"/>
        <w:gridCol w:w="2123"/>
      </w:tblGrid>
      <w:tr w:rsidR="00B52603" w:rsidTr="00D93354">
        <w:tblPrEx>
          <w:tblCellMar>
            <w:top w:w="0" w:type="dxa"/>
            <w:bottom w:w="0" w:type="dxa"/>
          </w:tblCellMar>
        </w:tblPrEx>
        <w:trPr>
          <w:trHeight w:val="998"/>
        </w:trPr>
        <w:tc>
          <w:tcPr>
            <w:tcW w:w="3105" w:type="dxa"/>
            <w:tcBorders>
              <w:top w:val="double" w:sz="4" w:space="0" w:color="auto"/>
              <w:bottom w:val="single" w:sz="6" w:space="0" w:color="auto"/>
              <w:right w:val="single" w:sz="6" w:space="0" w:color="auto"/>
            </w:tcBorders>
          </w:tcPr>
          <w:p w:rsidR="00B52603" w:rsidRDefault="00B52603" w:rsidP="00D93354">
            <w:pPr>
              <w:ind w:left="1050"/>
              <w:jc w:val="right"/>
              <w:rPr>
                <w:b/>
                <w:snapToGrid w:val="0"/>
                <w:color w:val="000000"/>
              </w:rPr>
            </w:pPr>
          </w:p>
        </w:tc>
        <w:tc>
          <w:tcPr>
            <w:tcW w:w="1965" w:type="dxa"/>
            <w:tcBorders>
              <w:top w:val="double" w:sz="4" w:space="0" w:color="auto"/>
              <w:left w:val="single" w:sz="6" w:space="0" w:color="auto"/>
              <w:bottom w:val="single" w:sz="6" w:space="0" w:color="auto"/>
              <w:right w:val="single" w:sz="6" w:space="0" w:color="auto"/>
            </w:tcBorders>
          </w:tcPr>
          <w:p w:rsidR="00B52603" w:rsidRDefault="00B52603" w:rsidP="00D93354">
            <w:pPr>
              <w:jc w:val="center"/>
              <w:rPr>
                <w:b/>
                <w:snapToGrid w:val="0"/>
                <w:color w:val="000000"/>
              </w:rPr>
            </w:pPr>
            <w:r>
              <w:rPr>
                <w:b/>
                <w:snapToGrid w:val="0"/>
                <w:color w:val="000000"/>
              </w:rPr>
              <w:t>Non-Defense Discretionary Spending</w:t>
            </w:r>
          </w:p>
          <w:p w:rsidR="00B52603" w:rsidRDefault="00B52603" w:rsidP="00D93354">
            <w:pPr>
              <w:jc w:val="center"/>
              <w:rPr>
                <w:b/>
                <w:snapToGrid w:val="0"/>
                <w:color w:val="000000"/>
              </w:rPr>
            </w:pPr>
            <w:r>
              <w:rPr>
                <w:b/>
                <w:snapToGrid w:val="0"/>
                <w:color w:val="000000"/>
              </w:rPr>
              <w:t>(in billions)</w:t>
            </w:r>
          </w:p>
        </w:tc>
        <w:tc>
          <w:tcPr>
            <w:tcW w:w="2122" w:type="dxa"/>
            <w:tcBorders>
              <w:top w:val="double" w:sz="4" w:space="0" w:color="auto"/>
              <w:left w:val="single" w:sz="6" w:space="0" w:color="auto"/>
              <w:bottom w:val="single" w:sz="6" w:space="0" w:color="auto"/>
            </w:tcBorders>
          </w:tcPr>
          <w:p w:rsidR="00B52603" w:rsidRDefault="00B52603" w:rsidP="00D93354">
            <w:pPr>
              <w:jc w:val="center"/>
              <w:rPr>
                <w:b/>
                <w:snapToGrid w:val="0"/>
                <w:color w:val="000000"/>
              </w:rPr>
            </w:pPr>
            <w:r>
              <w:rPr>
                <w:b/>
                <w:snapToGrid w:val="0"/>
                <w:color w:val="000000"/>
              </w:rPr>
              <w:t xml:space="preserve">Defense/Homeland Security Spending (in billions)   </w:t>
            </w:r>
          </w:p>
        </w:tc>
        <w:tc>
          <w:tcPr>
            <w:tcW w:w="2123" w:type="dxa"/>
            <w:tcBorders>
              <w:top w:val="double" w:sz="4" w:space="0" w:color="auto"/>
              <w:left w:val="single" w:sz="6" w:space="0" w:color="auto"/>
              <w:bottom w:val="single" w:sz="6" w:space="0" w:color="auto"/>
            </w:tcBorders>
          </w:tcPr>
          <w:p w:rsidR="00B52603" w:rsidRDefault="00B52603" w:rsidP="00D93354">
            <w:pPr>
              <w:jc w:val="center"/>
              <w:rPr>
                <w:b/>
                <w:snapToGrid w:val="0"/>
                <w:color w:val="000000"/>
              </w:rPr>
            </w:pPr>
            <w:r>
              <w:rPr>
                <w:b/>
                <w:snapToGrid w:val="0"/>
                <w:color w:val="000000"/>
              </w:rPr>
              <w:t>Mandatory Spending (in billions)</w:t>
            </w: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Clinton’s 1999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$305</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 xml:space="preserve">$22 </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Clinton’s 2000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$119</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 xml:space="preserve">$21 </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2002 </w:t>
            </w:r>
            <w:proofErr w:type="spellStart"/>
            <w:r>
              <w:rPr>
                <w:snapToGrid w:val="0"/>
                <w:color w:val="000000"/>
              </w:rPr>
              <w:t>SotU</w:t>
            </w:r>
            <w:proofErr w:type="spellEnd"/>
            <w:r>
              <w:rPr>
                <w:snapToGrid w:val="0"/>
                <w:color w:val="000000"/>
              </w:rPr>
              <w:t>*</w:t>
            </w:r>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$55</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 xml:space="preserve">$51 </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2003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$46</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 xml:space="preserve">$6 </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2004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$13.6</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N/A</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nil"/>
              <w:right w:val="single" w:sz="6" w:space="0" w:color="auto"/>
            </w:tcBorders>
          </w:tcPr>
          <w:p w:rsidR="00B52603" w:rsidRDefault="00B52603" w:rsidP="00D93354">
            <w:pPr>
              <w:rPr>
                <w:snapToGrid w:val="0"/>
                <w:color w:val="000000"/>
              </w:rPr>
            </w:pPr>
            <w:r>
              <w:rPr>
                <w:snapToGrid w:val="0"/>
                <w:color w:val="000000"/>
              </w:rPr>
              <w:t xml:space="preserve">President Bush’s 2005 </w:t>
            </w:r>
            <w:proofErr w:type="spellStart"/>
            <w:r>
              <w:rPr>
                <w:snapToGrid w:val="0"/>
                <w:color w:val="000000"/>
              </w:rPr>
              <w:t>SotU</w:t>
            </w:r>
            <w:proofErr w:type="spellEnd"/>
          </w:p>
        </w:tc>
        <w:tc>
          <w:tcPr>
            <w:tcW w:w="1965" w:type="dxa"/>
            <w:tcBorders>
              <w:top w:val="single" w:sz="6" w:space="0" w:color="auto"/>
              <w:left w:val="single" w:sz="6" w:space="0" w:color="auto"/>
              <w:bottom w:val="nil"/>
              <w:right w:val="single" w:sz="6" w:space="0" w:color="auto"/>
            </w:tcBorders>
          </w:tcPr>
          <w:p w:rsidR="00B52603" w:rsidRDefault="00B52603" w:rsidP="00D93354">
            <w:pPr>
              <w:jc w:val="center"/>
              <w:rPr>
                <w:snapToGrid w:val="0"/>
                <w:color w:val="000000"/>
              </w:rPr>
            </w:pPr>
            <w:r>
              <w:rPr>
                <w:snapToGrid w:val="0"/>
                <w:color w:val="000000"/>
              </w:rPr>
              <w:t>$12.8</w:t>
            </w:r>
          </w:p>
        </w:tc>
        <w:tc>
          <w:tcPr>
            <w:tcW w:w="2122" w:type="dxa"/>
            <w:tcBorders>
              <w:top w:val="single" w:sz="6" w:space="0" w:color="auto"/>
              <w:left w:val="single" w:sz="6" w:space="0" w:color="auto"/>
              <w:bottom w:val="nil"/>
            </w:tcBorders>
          </w:tcPr>
          <w:p w:rsidR="00B52603" w:rsidRDefault="00B52603" w:rsidP="00D93354">
            <w:pPr>
              <w:jc w:val="center"/>
              <w:rPr>
                <w:snapToGrid w:val="0"/>
                <w:color w:val="000000"/>
              </w:rPr>
            </w:pPr>
            <w:r>
              <w:rPr>
                <w:snapToGrid w:val="0"/>
                <w:color w:val="000000"/>
              </w:rPr>
              <w:t>N/A</w:t>
            </w:r>
          </w:p>
        </w:tc>
        <w:tc>
          <w:tcPr>
            <w:tcW w:w="2123" w:type="dxa"/>
            <w:tcBorders>
              <w:top w:val="single" w:sz="6" w:space="0" w:color="auto"/>
              <w:left w:val="single" w:sz="6" w:space="0" w:color="auto"/>
              <w:bottom w:val="nil"/>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2006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color w:val="000000"/>
              </w:rPr>
            </w:pPr>
            <w:r>
              <w:rPr>
                <w:snapToGrid w:val="0"/>
                <w:color w:val="000000"/>
              </w:rPr>
              <w:t>$.091</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r>
              <w:rPr>
                <w:snapToGrid w:val="0"/>
                <w:color w:val="000000"/>
              </w:rPr>
              <w:t>N/A</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color w:val="00000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2007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rPr>
                <w:snapToGrid w:val="0"/>
              </w:rPr>
            </w:pPr>
            <w:r>
              <w:rPr>
                <w:snapToGrid w:val="0"/>
              </w:rPr>
              <w:t>$3.48</w:t>
            </w:r>
          </w:p>
        </w:tc>
        <w:tc>
          <w:tcPr>
            <w:tcW w:w="2122" w:type="dxa"/>
            <w:tcBorders>
              <w:top w:val="single" w:sz="6" w:space="0" w:color="auto"/>
              <w:left w:val="single" w:sz="6" w:space="0" w:color="auto"/>
              <w:bottom w:val="single" w:sz="6" w:space="0" w:color="auto"/>
            </w:tcBorders>
          </w:tcPr>
          <w:p w:rsidR="00B52603" w:rsidRDefault="00B52603" w:rsidP="00D93354">
            <w:pPr>
              <w:jc w:val="center"/>
              <w:rPr>
                <w:snapToGrid w:val="0"/>
              </w:rPr>
            </w:pPr>
            <w:r>
              <w:rPr>
                <w:snapToGrid w:val="0"/>
              </w:rPr>
              <w:t>$8.9</w:t>
            </w:r>
          </w:p>
        </w:tc>
        <w:tc>
          <w:tcPr>
            <w:tcW w:w="2123" w:type="dxa"/>
            <w:tcBorders>
              <w:top w:val="single" w:sz="6" w:space="0" w:color="auto"/>
              <w:left w:val="single" w:sz="6" w:space="0" w:color="auto"/>
              <w:bottom w:val="single" w:sz="6" w:space="0" w:color="auto"/>
            </w:tcBorders>
          </w:tcPr>
          <w:p w:rsidR="00B52603" w:rsidRDefault="00B52603" w:rsidP="00D93354">
            <w:pPr>
              <w:jc w:val="center"/>
              <w:rPr>
                <w:snapToGrid w:val="0"/>
              </w:rP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Bush’s 2008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Default="00B52603" w:rsidP="00D93354">
            <w:pPr>
              <w:jc w:val="center"/>
            </w:pPr>
            <w:r>
              <w:t xml:space="preserve">$24.75 </w:t>
            </w:r>
          </w:p>
        </w:tc>
        <w:tc>
          <w:tcPr>
            <w:tcW w:w="2122" w:type="dxa"/>
            <w:tcBorders>
              <w:top w:val="single" w:sz="6" w:space="0" w:color="auto"/>
              <w:left w:val="single" w:sz="6" w:space="0" w:color="auto"/>
              <w:bottom w:val="single" w:sz="6" w:space="0" w:color="auto"/>
            </w:tcBorders>
          </w:tcPr>
          <w:p w:rsidR="00B52603" w:rsidRDefault="00B52603" w:rsidP="00D93354">
            <w:pPr>
              <w:jc w:val="center"/>
            </w:pPr>
            <w:r>
              <w:t xml:space="preserve">$109.89 </w:t>
            </w:r>
          </w:p>
        </w:tc>
        <w:tc>
          <w:tcPr>
            <w:tcW w:w="2123" w:type="dxa"/>
            <w:tcBorders>
              <w:top w:val="single" w:sz="6" w:space="0" w:color="auto"/>
              <w:left w:val="single" w:sz="6" w:space="0" w:color="auto"/>
              <w:bottom w:val="single" w:sz="6" w:space="0" w:color="auto"/>
            </w:tcBorders>
          </w:tcPr>
          <w:p w:rsidR="00B52603" w:rsidRDefault="00B52603" w:rsidP="00D93354">
            <w:pPr>
              <w:jc w:val="center"/>
            </w:pPr>
          </w:p>
        </w:tc>
      </w:tr>
      <w:tr w:rsidR="00B52603"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Obama’s 2010 </w:t>
            </w:r>
            <w:proofErr w:type="spellStart"/>
            <w:r>
              <w:rPr>
                <w:snapToGrid w:val="0"/>
                <w:color w:val="000000"/>
              </w:rPr>
              <w:t>SotU</w:t>
            </w:r>
            <w:proofErr w:type="spellEnd"/>
            <w:r>
              <w:rPr>
                <w:snapToGrid w:val="0"/>
                <w:color w:val="000000"/>
              </w:rPr>
              <w:t>*</w:t>
            </w:r>
          </w:p>
        </w:tc>
        <w:tc>
          <w:tcPr>
            <w:tcW w:w="1965" w:type="dxa"/>
            <w:tcBorders>
              <w:top w:val="single" w:sz="6" w:space="0" w:color="auto"/>
              <w:left w:val="single" w:sz="6" w:space="0" w:color="auto"/>
              <w:bottom w:val="single" w:sz="6" w:space="0" w:color="auto"/>
              <w:right w:val="single" w:sz="6" w:space="0" w:color="auto"/>
            </w:tcBorders>
          </w:tcPr>
          <w:p w:rsidR="00B52603" w:rsidRPr="006771A0" w:rsidRDefault="00B52603" w:rsidP="00D93354">
            <w:pPr>
              <w:jc w:val="center"/>
            </w:pPr>
            <w:r w:rsidRPr="006771A0">
              <w:t>$10.2</w:t>
            </w:r>
          </w:p>
        </w:tc>
        <w:tc>
          <w:tcPr>
            <w:tcW w:w="2122" w:type="dxa"/>
            <w:tcBorders>
              <w:top w:val="single" w:sz="6" w:space="0" w:color="auto"/>
              <w:left w:val="single" w:sz="6" w:space="0" w:color="auto"/>
              <w:bottom w:val="single" w:sz="6" w:space="0" w:color="auto"/>
            </w:tcBorders>
          </w:tcPr>
          <w:p w:rsidR="00B52603" w:rsidRDefault="00B52603" w:rsidP="00D93354">
            <w:pPr>
              <w:jc w:val="center"/>
            </w:pPr>
            <w:r w:rsidRPr="006771A0">
              <w:t>$11.3</w:t>
            </w:r>
          </w:p>
        </w:tc>
        <w:tc>
          <w:tcPr>
            <w:tcW w:w="2123" w:type="dxa"/>
            <w:tcBorders>
              <w:top w:val="single" w:sz="6" w:space="0" w:color="auto"/>
              <w:left w:val="single" w:sz="6" w:space="0" w:color="auto"/>
              <w:bottom w:val="single" w:sz="6" w:space="0" w:color="auto"/>
            </w:tcBorders>
          </w:tcPr>
          <w:p w:rsidR="00B52603" w:rsidRDefault="00B52603" w:rsidP="00D93354">
            <w:pPr>
              <w:jc w:val="center"/>
            </w:pPr>
            <w:r>
              <w:t xml:space="preserve">$49.0 </w:t>
            </w:r>
          </w:p>
        </w:tc>
      </w:tr>
      <w:tr w:rsidR="00B52603" w:rsidRPr="00F64874" w:rsidTr="00D93354">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B52603" w:rsidRDefault="00B52603" w:rsidP="00D93354">
            <w:pPr>
              <w:rPr>
                <w:snapToGrid w:val="0"/>
                <w:color w:val="000000"/>
              </w:rPr>
            </w:pPr>
            <w:r>
              <w:rPr>
                <w:snapToGrid w:val="0"/>
                <w:color w:val="000000"/>
              </w:rPr>
              <w:t xml:space="preserve">President Obama’s 2011 </w:t>
            </w:r>
            <w:proofErr w:type="spellStart"/>
            <w:r>
              <w:rPr>
                <w:snapToGrid w:val="0"/>
                <w:color w:val="000000"/>
              </w:rPr>
              <w:t>SotU</w:t>
            </w:r>
            <w:proofErr w:type="spellEnd"/>
          </w:p>
        </w:tc>
        <w:tc>
          <w:tcPr>
            <w:tcW w:w="1965" w:type="dxa"/>
            <w:tcBorders>
              <w:top w:val="single" w:sz="6" w:space="0" w:color="auto"/>
              <w:left w:val="single" w:sz="6" w:space="0" w:color="auto"/>
              <w:bottom w:val="single" w:sz="6" w:space="0" w:color="auto"/>
              <w:right w:val="single" w:sz="6" w:space="0" w:color="auto"/>
            </w:tcBorders>
          </w:tcPr>
          <w:p w:rsidR="00B52603" w:rsidRPr="006771A0" w:rsidRDefault="00B52603" w:rsidP="00D93354">
            <w:pPr>
              <w:jc w:val="center"/>
            </w:pPr>
            <w:r>
              <w:t>$39.01</w:t>
            </w:r>
          </w:p>
        </w:tc>
        <w:tc>
          <w:tcPr>
            <w:tcW w:w="2122" w:type="dxa"/>
            <w:tcBorders>
              <w:top w:val="single" w:sz="6" w:space="0" w:color="auto"/>
              <w:left w:val="single" w:sz="6" w:space="0" w:color="auto"/>
              <w:bottom w:val="single" w:sz="6" w:space="0" w:color="auto"/>
            </w:tcBorders>
          </w:tcPr>
          <w:p w:rsidR="00B52603" w:rsidRPr="006771A0" w:rsidRDefault="00B52603" w:rsidP="00D93354">
            <w:pPr>
              <w:jc w:val="center"/>
            </w:pPr>
            <w:r>
              <w:t>($15.6)</w:t>
            </w:r>
          </w:p>
        </w:tc>
        <w:tc>
          <w:tcPr>
            <w:tcW w:w="2123" w:type="dxa"/>
            <w:tcBorders>
              <w:top w:val="single" w:sz="6" w:space="0" w:color="auto"/>
              <w:left w:val="single" w:sz="6" w:space="0" w:color="auto"/>
              <w:bottom w:val="single" w:sz="6" w:space="0" w:color="auto"/>
            </w:tcBorders>
          </w:tcPr>
          <w:p w:rsidR="00B52603" w:rsidRPr="00F64874" w:rsidRDefault="00B52603" w:rsidP="00D93354">
            <w:pPr>
              <w:jc w:val="center"/>
            </w:pPr>
            <w:r w:rsidRPr="00F64874">
              <w:t>($2.1)</w:t>
            </w:r>
          </w:p>
        </w:tc>
      </w:tr>
      <w:tr w:rsidR="00B52603" w:rsidRPr="00F64874" w:rsidTr="00D93354">
        <w:tblPrEx>
          <w:tblCellMar>
            <w:top w:w="0" w:type="dxa"/>
            <w:bottom w:w="0" w:type="dxa"/>
          </w:tblCellMar>
        </w:tblPrEx>
        <w:trPr>
          <w:trHeight w:val="250"/>
        </w:trPr>
        <w:tc>
          <w:tcPr>
            <w:tcW w:w="3105" w:type="dxa"/>
            <w:tcBorders>
              <w:top w:val="single" w:sz="6" w:space="0" w:color="auto"/>
              <w:bottom w:val="double" w:sz="4" w:space="0" w:color="auto"/>
              <w:right w:val="single" w:sz="6" w:space="0" w:color="auto"/>
            </w:tcBorders>
          </w:tcPr>
          <w:p w:rsidR="00B52603" w:rsidRDefault="00B52603" w:rsidP="00D93354">
            <w:pPr>
              <w:rPr>
                <w:snapToGrid w:val="0"/>
                <w:color w:val="000000"/>
              </w:rPr>
            </w:pPr>
            <w:r>
              <w:rPr>
                <w:snapToGrid w:val="0"/>
                <w:color w:val="000000"/>
              </w:rPr>
              <w:t xml:space="preserve">President Obama’s 2012 </w:t>
            </w:r>
            <w:proofErr w:type="spellStart"/>
            <w:r>
              <w:rPr>
                <w:snapToGrid w:val="0"/>
                <w:color w:val="000000"/>
              </w:rPr>
              <w:t>SotU</w:t>
            </w:r>
            <w:proofErr w:type="spellEnd"/>
          </w:p>
        </w:tc>
        <w:tc>
          <w:tcPr>
            <w:tcW w:w="1965" w:type="dxa"/>
            <w:tcBorders>
              <w:top w:val="single" w:sz="6" w:space="0" w:color="auto"/>
              <w:left w:val="single" w:sz="6" w:space="0" w:color="auto"/>
              <w:bottom w:val="double" w:sz="4" w:space="0" w:color="auto"/>
              <w:right w:val="single" w:sz="6" w:space="0" w:color="auto"/>
            </w:tcBorders>
          </w:tcPr>
          <w:p w:rsidR="00B52603" w:rsidRPr="009B2E40" w:rsidRDefault="00B52603" w:rsidP="00D93354">
            <w:pPr>
              <w:jc w:val="center"/>
              <w:outlineLvl w:val="0"/>
            </w:pPr>
            <w:r>
              <w:t>$20</w:t>
            </w:r>
            <w:r w:rsidRPr="009B2E40">
              <w:t>.7</w:t>
            </w:r>
            <w:r>
              <w:t>8</w:t>
            </w:r>
            <w:r w:rsidRPr="009B2E40">
              <w:t>9</w:t>
            </w:r>
          </w:p>
        </w:tc>
        <w:tc>
          <w:tcPr>
            <w:tcW w:w="2122" w:type="dxa"/>
            <w:tcBorders>
              <w:top w:val="single" w:sz="6" w:space="0" w:color="auto"/>
              <w:left w:val="single" w:sz="6" w:space="0" w:color="auto"/>
              <w:bottom w:val="double" w:sz="4" w:space="0" w:color="auto"/>
            </w:tcBorders>
          </w:tcPr>
          <w:p w:rsidR="00B52603" w:rsidRPr="009B2E40" w:rsidRDefault="00B52603" w:rsidP="00D93354">
            <w:pPr>
              <w:jc w:val="center"/>
              <w:outlineLvl w:val="0"/>
            </w:pPr>
            <w:r w:rsidRPr="009B2E40">
              <w:t>($48.7)</w:t>
            </w:r>
          </w:p>
        </w:tc>
        <w:tc>
          <w:tcPr>
            <w:tcW w:w="2123" w:type="dxa"/>
            <w:tcBorders>
              <w:top w:val="single" w:sz="6" w:space="0" w:color="auto"/>
              <w:left w:val="single" w:sz="6" w:space="0" w:color="auto"/>
              <w:bottom w:val="double" w:sz="4" w:space="0" w:color="auto"/>
            </w:tcBorders>
          </w:tcPr>
          <w:p w:rsidR="00B52603" w:rsidRPr="00F64874" w:rsidRDefault="00B52603" w:rsidP="00D93354">
            <w:pPr>
              <w:jc w:val="center"/>
            </w:pPr>
            <w:r w:rsidRPr="00F64874">
              <w:t>($0.</w:t>
            </w:r>
            <w:r>
              <w:t>08</w:t>
            </w:r>
            <w:r w:rsidRPr="00F64874">
              <w:t>)</w:t>
            </w:r>
          </w:p>
        </w:tc>
      </w:tr>
      <w:tr w:rsidR="00B52603" w:rsidRPr="00E93A01" w:rsidTr="00D93354">
        <w:tblPrEx>
          <w:tblCellMar>
            <w:top w:w="0" w:type="dxa"/>
            <w:bottom w:w="0" w:type="dxa"/>
          </w:tblCellMar>
        </w:tblPrEx>
        <w:trPr>
          <w:trHeight w:val="484"/>
        </w:trPr>
        <w:tc>
          <w:tcPr>
            <w:tcW w:w="9315" w:type="dxa"/>
            <w:gridSpan w:val="4"/>
            <w:tcBorders>
              <w:top w:val="nil"/>
            </w:tcBorders>
          </w:tcPr>
          <w:p w:rsidR="00B52603" w:rsidRPr="00E93A01" w:rsidRDefault="00B52603" w:rsidP="00D93354">
            <w:pPr>
              <w:rPr>
                <w:snapToGrid w:val="0"/>
                <w:color w:val="000000"/>
                <w:sz w:val="18"/>
                <w:szCs w:val="18"/>
              </w:rPr>
            </w:pPr>
            <w:r w:rsidRPr="00E93A01">
              <w:rPr>
                <w:snapToGrid w:val="0"/>
                <w:color w:val="000000"/>
                <w:sz w:val="18"/>
                <w:szCs w:val="18"/>
              </w:rPr>
              <w:t>*Historically Presidents do not give State of the Union addresses their first year in office (2001 for President Bush, 2009 for President Obama).</w:t>
            </w:r>
          </w:p>
        </w:tc>
      </w:tr>
    </w:tbl>
    <w:p w:rsidR="00B52603" w:rsidRDefault="00B52603"/>
    <w:p w:rsidR="00B52603" w:rsidRDefault="00B52603"/>
    <w:p w:rsidR="00B52603" w:rsidRDefault="00B52603">
      <w:r>
        <w:rPr>
          <w:noProof/>
        </w:rPr>
        <w:drawing>
          <wp:inline distT="0" distB="0" distL="0" distR="0">
            <wp:extent cx="5715000" cy="414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15000" cy="4143375"/>
                    </a:xfrm>
                    <a:prstGeom prst="rect">
                      <a:avLst/>
                    </a:prstGeom>
                    <a:noFill/>
                    <a:ln w="9525">
                      <a:noFill/>
                      <a:miter lim="800000"/>
                      <a:headEnd/>
                      <a:tailEnd/>
                    </a:ln>
                  </pic:spPr>
                </pic:pic>
              </a:graphicData>
            </a:graphic>
          </wp:inline>
        </w:drawing>
      </w:r>
    </w:p>
    <w:p w:rsidR="00B52603" w:rsidRDefault="00B52603" w:rsidP="00B52603">
      <w:pPr>
        <w:jc w:val="center"/>
      </w:pPr>
      <w:r w:rsidRPr="00E93A01">
        <w:rPr>
          <w:snapToGrid w:val="0"/>
          <w:color w:val="000000"/>
          <w:sz w:val="18"/>
          <w:szCs w:val="18"/>
        </w:rPr>
        <w:t>*Historically Presidents do not give State of the Union addresses their first year in office (2001 for President Bush, 2009 for President Obama).</w:t>
      </w:r>
    </w:p>
    <w:p w:rsidR="00B52603" w:rsidRDefault="00B52603"/>
    <w:sectPr w:rsidR="00B52603" w:rsidSect="000D1F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03" w:rsidRDefault="00B52603" w:rsidP="00B52603">
      <w:r>
        <w:separator/>
      </w:r>
    </w:p>
  </w:endnote>
  <w:endnote w:type="continuationSeparator" w:id="0">
    <w:p w:rsidR="00B52603" w:rsidRDefault="00B52603" w:rsidP="00B52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03" w:rsidRDefault="00B52603" w:rsidP="00B52603">
      <w:r>
        <w:separator/>
      </w:r>
    </w:p>
  </w:footnote>
  <w:footnote w:type="continuationSeparator" w:id="0">
    <w:p w:rsidR="00B52603" w:rsidRDefault="00B52603" w:rsidP="00B5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03" w:rsidRDefault="00B52603" w:rsidP="00B52603">
    <w:pPr>
      <w:pStyle w:val="Header"/>
      <w:jc w:val="center"/>
    </w:pPr>
    <w:r w:rsidRPr="00B52603">
      <w:rPr>
        <w:noProof/>
      </w:rPr>
      <w:drawing>
        <wp:inline distT="0" distB="0" distL="0" distR="0">
          <wp:extent cx="1598295" cy="652145"/>
          <wp:effectExtent l="19050" t="0" r="1905" b="0"/>
          <wp:docPr id="2"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598295" cy="6521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B52603"/>
    <w:rsid w:val="000D1F0B"/>
    <w:rsid w:val="006F768C"/>
    <w:rsid w:val="00B52603"/>
    <w:rsid w:val="00DE780D"/>
    <w:rsid w:val="00EB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6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52603"/>
  </w:style>
  <w:style w:type="paragraph" w:styleId="Footer">
    <w:name w:val="footer"/>
    <w:basedOn w:val="Normal"/>
    <w:link w:val="FooterChar"/>
    <w:uiPriority w:val="99"/>
    <w:semiHidden/>
    <w:unhideWhenUsed/>
    <w:rsid w:val="00B526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B52603"/>
  </w:style>
  <w:style w:type="paragraph" w:styleId="BalloonText">
    <w:name w:val="Balloon Text"/>
    <w:basedOn w:val="Normal"/>
    <w:link w:val="BalloonTextChar"/>
    <w:uiPriority w:val="99"/>
    <w:semiHidden/>
    <w:unhideWhenUsed/>
    <w:rsid w:val="00B5260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52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Dbarrett</dc:creator>
  <cp:lastModifiedBy>Dbarrett</cp:lastModifiedBy>
  <cp:revision>2</cp:revision>
  <dcterms:created xsi:type="dcterms:W3CDTF">2015-01-16T16:48:00Z</dcterms:created>
  <dcterms:modified xsi:type="dcterms:W3CDTF">2015-01-16T16:53:00Z</dcterms:modified>
</cp:coreProperties>
</file>