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F97" w:rsidRDefault="00806F97" w:rsidP="002A1C16">
      <w:pPr>
        <w:jc w:val="center"/>
        <w:rPr>
          <w:b/>
        </w:rPr>
      </w:pPr>
    </w:p>
    <w:p w:rsidR="002A1C16" w:rsidRPr="002A1C16" w:rsidRDefault="002A1C16" w:rsidP="002A1C16">
      <w:pPr>
        <w:jc w:val="center"/>
        <w:rPr>
          <w:b/>
        </w:rPr>
      </w:pPr>
      <w:r w:rsidRPr="002A1C16">
        <w:rPr>
          <w:b/>
        </w:rPr>
        <w:t>National Taxpayers Union Foundation’s Cost Analysis of the President’s 2011 State of the Union Address</w:t>
      </w:r>
    </w:p>
    <w:p w:rsidR="002A1C16" w:rsidRDefault="002A1C16"/>
    <w:p w:rsidR="002A1C16" w:rsidRDefault="002A1C16"/>
    <w:tbl>
      <w:tblPr>
        <w:tblW w:w="11076"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816"/>
        <w:gridCol w:w="3600"/>
        <w:gridCol w:w="2160"/>
        <w:gridCol w:w="4500"/>
      </w:tblGrid>
      <w:tr w:rsidR="004943A4" w:rsidRPr="004943A4" w:rsidTr="00DF2B06">
        <w:tc>
          <w:tcPr>
            <w:tcW w:w="816" w:type="dxa"/>
            <w:tcBorders>
              <w:top w:val="double" w:sz="4" w:space="0" w:color="auto"/>
              <w:bottom w:val="double" w:sz="4" w:space="0" w:color="auto"/>
            </w:tcBorders>
          </w:tcPr>
          <w:p w:rsidR="004943A4" w:rsidRPr="002D4E19" w:rsidRDefault="004943A4" w:rsidP="002D4E19">
            <w:pPr>
              <w:jc w:val="center"/>
              <w:rPr>
                <w:b/>
              </w:rPr>
            </w:pPr>
            <w:r w:rsidRPr="002D4E19">
              <w:rPr>
                <w:b/>
              </w:rPr>
              <w:t>Item</w:t>
            </w:r>
          </w:p>
        </w:tc>
        <w:tc>
          <w:tcPr>
            <w:tcW w:w="3600" w:type="dxa"/>
            <w:tcBorders>
              <w:top w:val="double" w:sz="4" w:space="0" w:color="auto"/>
              <w:bottom w:val="double" w:sz="4" w:space="0" w:color="auto"/>
            </w:tcBorders>
          </w:tcPr>
          <w:p w:rsidR="004943A4" w:rsidRPr="002D4E19" w:rsidRDefault="000C71FB" w:rsidP="002D4E19">
            <w:pPr>
              <w:jc w:val="center"/>
              <w:rPr>
                <w:b/>
              </w:rPr>
            </w:pPr>
            <w:r w:rsidRPr="002D4E19">
              <w:rPr>
                <w:b/>
                <w:snapToGrid w:val="0"/>
                <w:color w:val="000000"/>
              </w:rPr>
              <w:t>Issue (quoted from text)</w:t>
            </w:r>
          </w:p>
        </w:tc>
        <w:tc>
          <w:tcPr>
            <w:tcW w:w="2160" w:type="dxa"/>
            <w:tcBorders>
              <w:top w:val="double" w:sz="4" w:space="0" w:color="auto"/>
              <w:bottom w:val="double" w:sz="4" w:space="0" w:color="auto"/>
            </w:tcBorders>
          </w:tcPr>
          <w:p w:rsidR="004943A4" w:rsidRPr="002D4E19" w:rsidRDefault="000C71FB" w:rsidP="002D4E19">
            <w:pPr>
              <w:jc w:val="center"/>
              <w:rPr>
                <w:b/>
              </w:rPr>
            </w:pPr>
            <w:r w:rsidRPr="002D4E19">
              <w:rPr>
                <w:b/>
                <w:snapToGrid w:val="0"/>
                <w:color w:val="000000"/>
              </w:rPr>
              <w:t xml:space="preserve">Annual </w:t>
            </w:r>
            <w:r w:rsidR="00800882">
              <w:rPr>
                <w:b/>
                <w:snapToGrid w:val="0"/>
                <w:color w:val="000000"/>
              </w:rPr>
              <w:t xml:space="preserve">Net </w:t>
            </w:r>
            <w:r w:rsidRPr="002D4E19">
              <w:rPr>
                <w:b/>
                <w:snapToGrid w:val="0"/>
                <w:color w:val="000000"/>
              </w:rPr>
              <w:t>Spending Increase/Decrease (in billions)</w:t>
            </w:r>
          </w:p>
        </w:tc>
        <w:tc>
          <w:tcPr>
            <w:tcW w:w="4500" w:type="dxa"/>
            <w:tcBorders>
              <w:top w:val="double" w:sz="4" w:space="0" w:color="auto"/>
              <w:bottom w:val="double" w:sz="4" w:space="0" w:color="auto"/>
            </w:tcBorders>
          </w:tcPr>
          <w:p w:rsidR="004943A4" w:rsidRPr="002D4E19" w:rsidRDefault="004943A4" w:rsidP="002D4E19">
            <w:pPr>
              <w:jc w:val="center"/>
              <w:rPr>
                <w:b/>
              </w:rPr>
            </w:pPr>
            <w:r w:rsidRPr="002D4E19">
              <w:rPr>
                <w:b/>
              </w:rPr>
              <w:t>Source/Note</w:t>
            </w:r>
          </w:p>
        </w:tc>
      </w:tr>
      <w:tr w:rsidR="000C71FB" w:rsidRPr="004943A4" w:rsidTr="00DF2B06">
        <w:tc>
          <w:tcPr>
            <w:tcW w:w="816" w:type="dxa"/>
            <w:tcBorders>
              <w:top w:val="double" w:sz="4" w:space="0" w:color="auto"/>
            </w:tcBorders>
            <w:vAlign w:val="bottom"/>
          </w:tcPr>
          <w:p w:rsidR="000C71FB" w:rsidRPr="002D4E19" w:rsidRDefault="000C71FB" w:rsidP="002D4E19">
            <w:pPr>
              <w:jc w:val="right"/>
              <w:rPr>
                <w:sz w:val="20"/>
                <w:szCs w:val="20"/>
              </w:rPr>
            </w:pPr>
          </w:p>
        </w:tc>
        <w:tc>
          <w:tcPr>
            <w:tcW w:w="3600" w:type="dxa"/>
            <w:tcBorders>
              <w:top w:val="double" w:sz="4" w:space="0" w:color="auto"/>
            </w:tcBorders>
          </w:tcPr>
          <w:p w:rsidR="000C71FB" w:rsidRPr="002D4E19" w:rsidRDefault="00B662C0" w:rsidP="000C71FB">
            <w:pPr>
              <w:rPr>
                <w:b/>
              </w:rPr>
            </w:pPr>
            <w:r>
              <w:rPr>
                <w:b/>
              </w:rPr>
              <w:t>Total</w:t>
            </w:r>
            <w:r w:rsidR="000C71FB" w:rsidRPr="002D4E19">
              <w:rPr>
                <w:b/>
              </w:rPr>
              <w:t>:</w:t>
            </w:r>
          </w:p>
        </w:tc>
        <w:tc>
          <w:tcPr>
            <w:tcW w:w="2160" w:type="dxa"/>
            <w:tcBorders>
              <w:top w:val="double" w:sz="4" w:space="0" w:color="auto"/>
            </w:tcBorders>
            <w:vAlign w:val="bottom"/>
          </w:tcPr>
          <w:p w:rsidR="000C71FB" w:rsidRPr="00734E40" w:rsidRDefault="000C71FB" w:rsidP="002D4E19">
            <w:pPr>
              <w:jc w:val="center"/>
              <w:rPr>
                <w:b/>
              </w:rPr>
            </w:pPr>
            <w:r w:rsidRPr="00B662C0">
              <w:rPr>
                <w:b/>
              </w:rPr>
              <w:t>$2</w:t>
            </w:r>
            <w:r w:rsidR="00B662C0" w:rsidRPr="00B662C0">
              <w:rPr>
                <w:b/>
              </w:rPr>
              <w:t>1</w:t>
            </w:r>
            <w:r w:rsidRPr="00B662C0">
              <w:rPr>
                <w:b/>
              </w:rPr>
              <w:t>.</w:t>
            </w:r>
            <w:r w:rsidR="00B662C0" w:rsidRPr="00B662C0">
              <w:rPr>
                <w:b/>
              </w:rPr>
              <w:t>3</w:t>
            </w:r>
            <w:r w:rsidR="00800882">
              <w:rPr>
                <w:b/>
              </w:rPr>
              <w:t>49</w:t>
            </w:r>
          </w:p>
        </w:tc>
        <w:tc>
          <w:tcPr>
            <w:tcW w:w="4500" w:type="dxa"/>
            <w:tcBorders>
              <w:top w:val="double" w:sz="4" w:space="0" w:color="auto"/>
            </w:tcBorders>
            <w:vAlign w:val="center"/>
          </w:tcPr>
          <w:p w:rsidR="000C71FB" w:rsidRPr="002D4E19" w:rsidRDefault="000C71FB">
            <w:pPr>
              <w:rPr>
                <w:sz w:val="20"/>
                <w:szCs w:val="20"/>
              </w:rPr>
            </w:pPr>
          </w:p>
        </w:tc>
      </w:tr>
      <w:tr w:rsidR="004943A4" w:rsidRPr="004943A4" w:rsidTr="00DF2B06">
        <w:tc>
          <w:tcPr>
            <w:tcW w:w="816" w:type="dxa"/>
            <w:vAlign w:val="bottom"/>
          </w:tcPr>
          <w:p w:rsidR="004943A4" w:rsidRPr="002D4E19" w:rsidRDefault="004943A4" w:rsidP="002D4E19">
            <w:pPr>
              <w:jc w:val="right"/>
              <w:rPr>
                <w:sz w:val="20"/>
                <w:szCs w:val="20"/>
              </w:rPr>
            </w:pPr>
            <w:r w:rsidRPr="002D4E19">
              <w:rPr>
                <w:sz w:val="20"/>
                <w:szCs w:val="20"/>
              </w:rPr>
              <w:t>1</w:t>
            </w:r>
          </w:p>
        </w:tc>
        <w:tc>
          <w:tcPr>
            <w:tcW w:w="3600" w:type="dxa"/>
          </w:tcPr>
          <w:p w:rsidR="004943A4" w:rsidRPr="002D4E19" w:rsidRDefault="000C71FB" w:rsidP="000C71FB">
            <w:pPr>
              <w:rPr>
                <w:sz w:val="18"/>
                <w:szCs w:val="18"/>
              </w:rPr>
            </w:pPr>
            <w:r w:rsidRPr="002D4E19">
              <w:rPr>
                <w:sz w:val="18"/>
                <w:szCs w:val="18"/>
              </w:rPr>
              <w:t>“</w:t>
            </w:r>
            <w:r w:rsidR="004943A4" w:rsidRPr="002D4E19">
              <w:rPr>
                <w:sz w:val="18"/>
                <w:szCs w:val="18"/>
              </w:rPr>
              <w:t xml:space="preserve">Two years ago, I said that we needed to reach a level of research and development we haven’t seen since the height of the Space Race. In a few weeks, I will be sending a budget to Congress that helps us meet that goal. We’ll invest in biomedical research, information technology, and especially clean energy </w:t>
            </w:r>
            <w:proofErr w:type="gramStart"/>
            <w:r w:rsidR="004943A4" w:rsidRPr="002D4E19">
              <w:rPr>
                <w:sz w:val="18"/>
                <w:szCs w:val="18"/>
              </w:rPr>
              <w:t>technology ...</w:t>
            </w:r>
            <w:proofErr w:type="gramEnd"/>
            <w:r w:rsidR="004943A4" w:rsidRPr="002D4E19">
              <w:rPr>
                <w:sz w:val="18"/>
                <w:szCs w:val="18"/>
              </w:rPr>
              <w:t xml:space="preserve"> . ... We’re telling </w:t>
            </w:r>
            <w:smartTag w:uri="urn:schemas-microsoft-com:office:smarttags" w:element="place">
              <w:smartTag w:uri="urn:schemas-microsoft-com:office:smarttags" w:element="country-region">
                <w:r w:rsidR="004943A4" w:rsidRPr="002D4E19">
                  <w:rPr>
                    <w:sz w:val="18"/>
                    <w:szCs w:val="18"/>
                  </w:rPr>
                  <w:t>America</w:t>
                </w:r>
              </w:smartTag>
            </w:smartTag>
            <w:r w:rsidR="004943A4" w:rsidRPr="002D4E19">
              <w:rPr>
                <w:sz w:val="18"/>
                <w:szCs w:val="18"/>
              </w:rPr>
              <w:t>’s scientists and engineers that if they assemble teams of the best minds in their fields, and focus on the hardest problems in clean energy, we’ll fund the Apollo Projects of our time.</w:t>
            </w:r>
            <w:r w:rsidRPr="002D4E19">
              <w:rPr>
                <w:sz w:val="18"/>
                <w:szCs w:val="18"/>
              </w:rPr>
              <w:t>”</w:t>
            </w:r>
          </w:p>
        </w:tc>
        <w:tc>
          <w:tcPr>
            <w:tcW w:w="2160" w:type="dxa"/>
            <w:vAlign w:val="bottom"/>
          </w:tcPr>
          <w:p w:rsidR="004943A4" w:rsidRPr="002D4E19" w:rsidRDefault="00734E40" w:rsidP="002D4E19">
            <w:pPr>
              <w:jc w:val="center"/>
              <w:rPr>
                <w:sz w:val="18"/>
                <w:szCs w:val="18"/>
              </w:rPr>
            </w:pPr>
            <w:r>
              <w:rPr>
                <w:sz w:val="18"/>
                <w:szCs w:val="18"/>
              </w:rPr>
              <w:t>$0.60</w:t>
            </w:r>
          </w:p>
        </w:tc>
        <w:tc>
          <w:tcPr>
            <w:tcW w:w="4500" w:type="dxa"/>
          </w:tcPr>
          <w:p w:rsidR="00734E40" w:rsidRPr="00734E40" w:rsidRDefault="00B662C0" w:rsidP="00A574AE">
            <w:pPr>
              <w:rPr>
                <w:sz w:val="18"/>
                <w:szCs w:val="18"/>
              </w:rPr>
            </w:pPr>
            <w:r w:rsidRPr="00B662C0">
              <w:rPr>
                <w:i/>
                <w:sz w:val="18"/>
                <w:szCs w:val="18"/>
              </w:rPr>
              <w:t>Partial estimate.</w:t>
            </w:r>
            <w:r>
              <w:rPr>
                <w:sz w:val="18"/>
                <w:szCs w:val="18"/>
              </w:rPr>
              <w:t xml:space="preserve"> </w:t>
            </w:r>
            <w:r w:rsidR="00734E40">
              <w:rPr>
                <w:sz w:val="18"/>
                <w:szCs w:val="18"/>
              </w:rPr>
              <w:t xml:space="preserve">Biomedical research: In January, the National Institutes of Health proposed to create a new drug-development agency, the </w:t>
            </w:r>
            <w:smartTag w:uri="urn:schemas-microsoft-com:office:smarttags" w:element="place">
              <w:smartTag w:uri="urn:schemas-microsoft-com:office:smarttags" w:element="PlaceName">
                <w:r w:rsidR="00734E40" w:rsidRPr="00734E40">
                  <w:rPr>
                    <w:sz w:val="18"/>
                    <w:szCs w:val="18"/>
                  </w:rPr>
                  <w:t>National</w:t>
                </w:r>
              </w:smartTag>
              <w:r w:rsidR="00734E40" w:rsidRPr="00734E40">
                <w:rPr>
                  <w:sz w:val="18"/>
                  <w:szCs w:val="18"/>
                </w:rPr>
                <w:t xml:space="preserve"> </w:t>
              </w:r>
              <w:smartTag w:uri="urn:schemas-microsoft-com:office:smarttags" w:element="PlaceType">
                <w:r w:rsidR="00734E40" w:rsidRPr="00734E40">
                  <w:rPr>
                    <w:sz w:val="18"/>
                    <w:szCs w:val="18"/>
                  </w:rPr>
                  <w:t>Center</w:t>
                </w:r>
              </w:smartTag>
            </w:smartTag>
            <w:r w:rsidR="00734E40" w:rsidRPr="00734E40">
              <w:rPr>
                <w:sz w:val="18"/>
                <w:szCs w:val="18"/>
              </w:rPr>
              <w:t xml:space="preserve"> for Advancing Translational Sciences</w:t>
            </w:r>
            <w:r w:rsidR="00734E40">
              <w:rPr>
                <w:sz w:val="18"/>
                <w:szCs w:val="18"/>
              </w:rPr>
              <w:t xml:space="preserve">. From </w:t>
            </w:r>
            <w:r w:rsidR="00734E40" w:rsidRPr="00242742">
              <w:rPr>
                <w:i/>
                <w:sz w:val="18"/>
                <w:szCs w:val="18"/>
              </w:rPr>
              <w:t>the New York Times</w:t>
            </w:r>
            <w:r w:rsidR="00734E40">
              <w:rPr>
                <w:sz w:val="18"/>
                <w:szCs w:val="18"/>
              </w:rPr>
              <w:t>: “</w:t>
            </w:r>
            <w:r w:rsidR="00734E40" w:rsidRPr="00734E40">
              <w:rPr>
                <w:sz w:val="18"/>
                <w:szCs w:val="18"/>
              </w:rPr>
              <w:t>Under the plan, more than $700 million in research projects underway at various institutes and centers would be brought together at the new center. Officials hope the prospect of finding new drugs will lure Congress into increasing the center's financing well beyond $1 billion.</w:t>
            </w:r>
            <w:r w:rsidR="00734E40">
              <w:rPr>
                <w:sz w:val="18"/>
                <w:szCs w:val="18"/>
              </w:rPr>
              <w:t>” NTUF assumes the funding would reach $1 billion over five years.</w:t>
            </w:r>
          </w:p>
          <w:p w:rsidR="004943A4" w:rsidRPr="00734E40" w:rsidRDefault="00734E40" w:rsidP="00A574AE">
            <w:pPr>
              <w:rPr>
                <w:sz w:val="18"/>
                <w:szCs w:val="18"/>
              </w:rPr>
            </w:pPr>
            <w:r w:rsidRPr="00734E40">
              <w:rPr>
                <w:sz w:val="18"/>
                <w:szCs w:val="18"/>
              </w:rPr>
              <w:t>http://www.denverpost.com/nationworld/ci_17171570#ixzz1C8y4cFPY</w:t>
            </w:r>
          </w:p>
        </w:tc>
      </w:tr>
      <w:tr w:rsidR="004943A4" w:rsidRPr="004943A4" w:rsidTr="00DF2B06">
        <w:tc>
          <w:tcPr>
            <w:tcW w:w="816" w:type="dxa"/>
            <w:vAlign w:val="bottom"/>
          </w:tcPr>
          <w:p w:rsidR="004943A4" w:rsidRPr="002D4E19" w:rsidRDefault="004943A4" w:rsidP="002D4E19">
            <w:pPr>
              <w:jc w:val="right"/>
              <w:rPr>
                <w:sz w:val="20"/>
                <w:szCs w:val="20"/>
              </w:rPr>
            </w:pPr>
            <w:r w:rsidRPr="002D4E19">
              <w:rPr>
                <w:sz w:val="20"/>
                <w:szCs w:val="20"/>
              </w:rPr>
              <w:t>2</w:t>
            </w:r>
          </w:p>
        </w:tc>
        <w:tc>
          <w:tcPr>
            <w:tcW w:w="3600" w:type="dxa"/>
          </w:tcPr>
          <w:p w:rsidR="004943A4" w:rsidRPr="002D4E19" w:rsidRDefault="000C71FB" w:rsidP="000C71FB">
            <w:pPr>
              <w:rPr>
                <w:sz w:val="18"/>
                <w:szCs w:val="18"/>
              </w:rPr>
            </w:pPr>
            <w:r w:rsidRPr="002D4E19">
              <w:rPr>
                <w:sz w:val="18"/>
                <w:szCs w:val="18"/>
              </w:rPr>
              <w:t>“</w:t>
            </w:r>
            <w:r w:rsidR="004943A4" w:rsidRPr="002D4E19">
              <w:rPr>
                <w:sz w:val="18"/>
                <w:szCs w:val="18"/>
              </w:rPr>
              <w:t>And Race to the Top should be the approach we follow this year as we replace No Child Left Behind with a law that is more flexible and focused on what’s best for our kids.</w:t>
            </w:r>
            <w:r w:rsidRPr="002D4E19">
              <w:rPr>
                <w:sz w:val="18"/>
                <w:szCs w:val="18"/>
              </w:rPr>
              <w:t>”</w:t>
            </w:r>
          </w:p>
        </w:tc>
        <w:tc>
          <w:tcPr>
            <w:tcW w:w="2160" w:type="dxa"/>
            <w:vAlign w:val="bottom"/>
          </w:tcPr>
          <w:p w:rsidR="004943A4" w:rsidRPr="002D4E19" w:rsidRDefault="004943A4" w:rsidP="002D4E19">
            <w:pPr>
              <w:jc w:val="center"/>
              <w:rPr>
                <w:sz w:val="18"/>
                <w:szCs w:val="18"/>
              </w:rPr>
            </w:pPr>
            <w:r w:rsidRPr="002D4E19">
              <w:rPr>
                <w:sz w:val="18"/>
                <w:szCs w:val="18"/>
              </w:rPr>
              <w:t>$1.35</w:t>
            </w:r>
          </w:p>
        </w:tc>
        <w:tc>
          <w:tcPr>
            <w:tcW w:w="4500" w:type="dxa"/>
          </w:tcPr>
          <w:p w:rsidR="004943A4" w:rsidRPr="002D4E19" w:rsidRDefault="004943A4" w:rsidP="00A574AE">
            <w:pPr>
              <w:rPr>
                <w:sz w:val="18"/>
                <w:szCs w:val="18"/>
              </w:rPr>
            </w:pPr>
            <w:r w:rsidRPr="002D4E19">
              <w:rPr>
                <w:sz w:val="18"/>
                <w:szCs w:val="18"/>
              </w:rPr>
              <w:t>Related legislation (111</w:t>
            </w:r>
            <w:r w:rsidR="000C71FB" w:rsidRPr="002D4E19">
              <w:rPr>
                <w:sz w:val="18"/>
                <w:szCs w:val="18"/>
              </w:rPr>
              <w:t xml:space="preserve">th Congress): H.R. 6244/S. 3885, the </w:t>
            </w:r>
            <w:r w:rsidRPr="002D4E19">
              <w:rPr>
                <w:sz w:val="18"/>
                <w:szCs w:val="18"/>
              </w:rPr>
              <w:t>Race to the Top Act of 2010</w:t>
            </w:r>
            <w:r w:rsidR="00706CE4" w:rsidRPr="002D4E19">
              <w:rPr>
                <w:sz w:val="18"/>
                <w:szCs w:val="18"/>
              </w:rPr>
              <w:t>. This bill would</w:t>
            </w:r>
            <w:r w:rsidRPr="002D4E19">
              <w:rPr>
                <w:sz w:val="18"/>
                <w:szCs w:val="18"/>
              </w:rPr>
              <w:t xml:space="preserve"> </w:t>
            </w:r>
            <w:r w:rsidR="00706CE4" w:rsidRPr="002D4E19">
              <w:rPr>
                <w:sz w:val="18"/>
                <w:szCs w:val="18"/>
              </w:rPr>
              <w:t>“</w:t>
            </w:r>
            <w:r w:rsidRPr="002D4E19">
              <w:rPr>
                <w:sz w:val="18"/>
                <w:szCs w:val="18"/>
              </w:rPr>
              <w:t>provide incentives for States and local educational agencies to implement comprehensive reforms and innovative strategies that are designed to lead to significant improvement in outcomes for all students and significant reductions in achievement gaps among subgroups of student</w:t>
            </w:r>
            <w:r w:rsidR="00706CE4" w:rsidRPr="002D4E19">
              <w:rPr>
                <w:sz w:val="18"/>
                <w:szCs w:val="18"/>
              </w:rPr>
              <w:t>s, and for other purposes.” The t</w:t>
            </w:r>
            <w:r w:rsidRPr="002D4E19">
              <w:rPr>
                <w:sz w:val="18"/>
                <w:szCs w:val="18"/>
              </w:rPr>
              <w:t>ext authorizes $1.35 billion in FY 2011 and such sums as necessary in succeeding years.</w:t>
            </w:r>
          </w:p>
        </w:tc>
      </w:tr>
      <w:tr w:rsidR="004943A4" w:rsidRPr="004943A4" w:rsidTr="00DF2B06">
        <w:tc>
          <w:tcPr>
            <w:tcW w:w="816" w:type="dxa"/>
            <w:vAlign w:val="bottom"/>
          </w:tcPr>
          <w:p w:rsidR="004943A4" w:rsidRPr="002D4E19" w:rsidRDefault="004943A4" w:rsidP="002D4E19">
            <w:pPr>
              <w:jc w:val="right"/>
              <w:rPr>
                <w:sz w:val="20"/>
                <w:szCs w:val="20"/>
              </w:rPr>
            </w:pPr>
            <w:r w:rsidRPr="002D4E19">
              <w:rPr>
                <w:sz w:val="20"/>
                <w:szCs w:val="20"/>
              </w:rPr>
              <w:t>3</w:t>
            </w:r>
          </w:p>
        </w:tc>
        <w:tc>
          <w:tcPr>
            <w:tcW w:w="3600" w:type="dxa"/>
          </w:tcPr>
          <w:p w:rsidR="004943A4" w:rsidRPr="002D4E19" w:rsidRDefault="000C71FB" w:rsidP="000C71FB">
            <w:pPr>
              <w:rPr>
                <w:sz w:val="18"/>
                <w:szCs w:val="18"/>
              </w:rPr>
            </w:pPr>
            <w:r w:rsidRPr="002D4E19">
              <w:rPr>
                <w:sz w:val="18"/>
                <w:szCs w:val="18"/>
              </w:rPr>
              <w:t>“</w:t>
            </w:r>
            <w:r w:rsidR="004943A4" w:rsidRPr="002D4E19">
              <w:rPr>
                <w:sz w:val="18"/>
                <w:szCs w:val="18"/>
              </w:rPr>
              <w:t>And over the next ten years, with so many Baby Boomers retiring from our classrooms, we want to prepare 100,000 new teachers in the fields of science, technology, engineering, and math.</w:t>
            </w:r>
            <w:r w:rsidRPr="002D4E19">
              <w:rPr>
                <w:sz w:val="18"/>
                <w:szCs w:val="18"/>
              </w:rPr>
              <w:t>”</w:t>
            </w:r>
          </w:p>
        </w:tc>
        <w:tc>
          <w:tcPr>
            <w:tcW w:w="2160" w:type="dxa"/>
            <w:vAlign w:val="bottom"/>
          </w:tcPr>
          <w:p w:rsidR="004943A4" w:rsidRPr="002D4E19" w:rsidRDefault="004943A4" w:rsidP="002D4E19">
            <w:pPr>
              <w:jc w:val="center"/>
              <w:rPr>
                <w:sz w:val="18"/>
                <w:szCs w:val="18"/>
              </w:rPr>
            </w:pPr>
            <w:r w:rsidRPr="002D4E19">
              <w:rPr>
                <w:sz w:val="18"/>
                <w:szCs w:val="18"/>
              </w:rPr>
              <w:t>$2</w:t>
            </w:r>
          </w:p>
        </w:tc>
        <w:tc>
          <w:tcPr>
            <w:tcW w:w="4500" w:type="dxa"/>
          </w:tcPr>
          <w:p w:rsidR="004943A4" w:rsidRPr="002D4E19" w:rsidRDefault="004943A4" w:rsidP="00A574AE">
            <w:pPr>
              <w:rPr>
                <w:sz w:val="18"/>
                <w:szCs w:val="18"/>
              </w:rPr>
            </w:pPr>
            <w:r w:rsidRPr="002D4E19">
              <w:rPr>
                <w:sz w:val="18"/>
                <w:szCs w:val="18"/>
              </w:rPr>
              <w:t>Related legislation (111th Congress): H.R. 3010</w:t>
            </w:r>
            <w:r w:rsidR="000C71FB" w:rsidRPr="002D4E19">
              <w:rPr>
                <w:sz w:val="18"/>
                <w:szCs w:val="18"/>
              </w:rPr>
              <w:t>.</w:t>
            </w:r>
            <w:r w:rsidRPr="002D4E19">
              <w:rPr>
                <w:sz w:val="18"/>
                <w:szCs w:val="18"/>
              </w:rPr>
              <w:t xml:space="preserve"> </w:t>
            </w:r>
            <w:r w:rsidR="000C71FB" w:rsidRPr="002D4E19">
              <w:rPr>
                <w:sz w:val="18"/>
                <w:szCs w:val="18"/>
              </w:rPr>
              <w:t xml:space="preserve">This bill </w:t>
            </w:r>
            <w:r w:rsidRPr="002D4E19">
              <w:rPr>
                <w:sz w:val="18"/>
                <w:szCs w:val="18"/>
              </w:rPr>
              <w:t xml:space="preserve">would provide grants to </w:t>
            </w:r>
            <w:r w:rsidR="000C71FB" w:rsidRPr="002D4E19">
              <w:rPr>
                <w:sz w:val="18"/>
                <w:szCs w:val="18"/>
              </w:rPr>
              <w:t>“</w:t>
            </w:r>
            <w:r w:rsidRPr="002D4E19">
              <w:rPr>
                <w:sz w:val="18"/>
                <w:szCs w:val="18"/>
              </w:rPr>
              <w:t>to assist States and local educational agencies in recruiting, hiring, and training 100,000 teachers in order to reduce class sizes nationally, in grades 1 through 3, to an average of 18 students per regular classroom ... .</w:t>
            </w:r>
            <w:r w:rsidR="000C71FB" w:rsidRPr="002D4E19">
              <w:rPr>
                <w:sz w:val="18"/>
                <w:szCs w:val="18"/>
              </w:rPr>
              <w:t>”</w:t>
            </w:r>
            <w:r w:rsidRPr="002D4E19">
              <w:rPr>
                <w:sz w:val="18"/>
                <w:szCs w:val="18"/>
              </w:rPr>
              <w:t xml:space="preserve"> The text of the legislation authorizes $2 billion in the first year, and such sums as necessary in succeeding years.</w:t>
            </w:r>
          </w:p>
        </w:tc>
      </w:tr>
      <w:tr w:rsidR="004943A4" w:rsidRPr="004943A4" w:rsidTr="00DF2B06">
        <w:tc>
          <w:tcPr>
            <w:tcW w:w="816" w:type="dxa"/>
            <w:vAlign w:val="bottom"/>
          </w:tcPr>
          <w:p w:rsidR="004943A4" w:rsidRPr="002D4E19" w:rsidRDefault="004943A4" w:rsidP="002D4E19">
            <w:pPr>
              <w:jc w:val="right"/>
              <w:rPr>
                <w:sz w:val="20"/>
                <w:szCs w:val="20"/>
              </w:rPr>
            </w:pPr>
            <w:r w:rsidRPr="002D4E19">
              <w:rPr>
                <w:sz w:val="20"/>
                <w:szCs w:val="20"/>
              </w:rPr>
              <w:t>4</w:t>
            </w:r>
          </w:p>
        </w:tc>
        <w:tc>
          <w:tcPr>
            <w:tcW w:w="3600" w:type="dxa"/>
          </w:tcPr>
          <w:p w:rsidR="004943A4" w:rsidRPr="002D4E19" w:rsidRDefault="000C71FB" w:rsidP="000C71FB">
            <w:pPr>
              <w:rPr>
                <w:sz w:val="18"/>
                <w:szCs w:val="18"/>
              </w:rPr>
            </w:pPr>
            <w:r w:rsidRPr="002D4E19">
              <w:rPr>
                <w:sz w:val="18"/>
                <w:szCs w:val="18"/>
              </w:rPr>
              <w:t>“</w:t>
            </w:r>
            <w:r w:rsidR="004943A4" w:rsidRPr="002D4E19">
              <w:rPr>
                <w:sz w:val="18"/>
                <w:szCs w:val="18"/>
              </w:rPr>
              <w:t>Today, there are hundreds of thousands of students excelling in our schools who are not American citizens. ... And let’s stop expelling talented, responsible young people who can staff our research labs, start new businesses, and further enrich this nation.</w:t>
            </w:r>
            <w:r w:rsidRPr="002D4E19">
              <w:rPr>
                <w:sz w:val="18"/>
                <w:szCs w:val="18"/>
              </w:rPr>
              <w:t>”</w:t>
            </w:r>
          </w:p>
        </w:tc>
        <w:tc>
          <w:tcPr>
            <w:tcW w:w="2160" w:type="dxa"/>
            <w:vAlign w:val="bottom"/>
          </w:tcPr>
          <w:p w:rsidR="004943A4" w:rsidRPr="002D4E19" w:rsidRDefault="000C71FB" w:rsidP="002D4E19">
            <w:pPr>
              <w:jc w:val="center"/>
              <w:rPr>
                <w:sz w:val="18"/>
                <w:szCs w:val="18"/>
              </w:rPr>
            </w:pPr>
            <w:r w:rsidRPr="002D4E19">
              <w:rPr>
                <w:sz w:val="18"/>
                <w:szCs w:val="18"/>
              </w:rPr>
              <w:t>$</w:t>
            </w:r>
            <w:r w:rsidR="004943A4" w:rsidRPr="002D4E19">
              <w:rPr>
                <w:sz w:val="18"/>
                <w:szCs w:val="18"/>
              </w:rPr>
              <w:t>0.0</w:t>
            </w:r>
            <w:r w:rsidR="00612635">
              <w:rPr>
                <w:sz w:val="18"/>
                <w:szCs w:val="18"/>
              </w:rPr>
              <w:t>59</w:t>
            </w:r>
          </w:p>
        </w:tc>
        <w:tc>
          <w:tcPr>
            <w:tcW w:w="4500" w:type="dxa"/>
          </w:tcPr>
          <w:p w:rsidR="004943A4" w:rsidRPr="00734E40" w:rsidRDefault="00706CE4" w:rsidP="00A574AE">
            <w:pPr>
              <w:rPr>
                <w:sz w:val="18"/>
                <w:szCs w:val="18"/>
              </w:rPr>
            </w:pPr>
            <w:r w:rsidRPr="002D4E19">
              <w:rPr>
                <w:sz w:val="18"/>
                <w:szCs w:val="18"/>
              </w:rPr>
              <w:t>Congressional Budget Office (</w:t>
            </w:r>
            <w:r w:rsidR="004943A4" w:rsidRPr="002D4E19">
              <w:rPr>
                <w:sz w:val="18"/>
                <w:szCs w:val="18"/>
              </w:rPr>
              <w:t>CBO</w:t>
            </w:r>
            <w:r w:rsidRPr="002D4E19">
              <w:rPr>
                <w:sz w:val="18"/>
                <w:szCs w:val="18"/>
              </w:rPr>
              <w:t>)</w:t>
            </w:r>
            <w:r w:rsidR="004943A4" w:rsidRPr="002D4E19">
              <w:rPr>
                <w:sz w:val="18"/>
                <w:szCs w:val="18"/>
              </w:rPr>
              <w:t xml:space="preserve"> cost estimate for S. 3992, the </w:t>
            </w:r>
            <w:r w:rsidR="000C71FB" w:rsidRPr="002D4E19">
              <w:rPr>
                <w:sz w:val="18"/>
                <w:szCs w:val="18"/>
              </w:rPr>
              <w:t>“</w:t>
            </w:r>
            <w:r w:rsidR="004943A4" w:rsidRPr="002D4E19">
              <w:rPr>
                <w:sz w:val="18"/>
                <w:szCs w:val="18"/>
              </w:rPr>
              <w:t>Development, Relief, and Education for Alien Minors Act of 2010.</w:t>
            </w:r>
            <w:r w:rsidR="000C71FB" w:rsidRPr="002D4E19">
              <w:rPr>
                <w:sz w:val="18"/>
                <w:szCs w:val="18"/>
              </w:rPr>
              <w:t>”</w:t>
            </w:r>
            <w:r w:rsidR="004943A4" w:rsidRPr="002D4E19">
              <w:rPr>
                <w:sz w:val="18"/>
                <w:szCs w:val="18"/>
              </w:rPr>
              <w:t xml:space="preserve"> $</w:t>
            </w:r>
            <w:r w:rsidR="00920129">
              <w:rPr>
                <w:sz w:val="18"/>
                <w:szCs w:val="18"/>
              </w:rPr>
              <w:t>236</w:t>
            </w:r>
            <w:r w:rsidR="004943A4" w:rsidRPr="002D4E19">
              <w:rPr>
                <w:sz w:val="18"/>
                <w:szCs w:val="18"/>
              </w:rPr>
              <w:t xml:space="preserve"> million from FY 2012-2015.</w:t>
            </w:r>
            <w:r w:rsidR="00734E40">
              <w:rPr>
                <w:sz w:val="18"/>
                <w:szCs w:val="18"/>
              </w:rPr>
              <w:t xml:space="preserve"> </w:t>
            </w:r>
            <w:r w:rsidR="00734E40" w:rsidRPr="00734E40">
              <w:rPr>
                <w:sz w:val="18"/>
                <w:szCs w:val="18"/>
              </w:rPr>
              <w:t>http://www.cbo.gov/doc.cfm?index=12012&amp;zzz=41449</w:t>
            </w:r>
          </w:p>
        </w:tc>
      </w:tr>
      <w:tr w:rsidR="004943A4" w:rsidRPr="004943A4" w:rsidTr="00DF2B06">
        <w:tc>
          <w:tcPr>
            <w:tcW w:w="816" w:type="dxa"/>
            <w:vAlign w:val="bottom"/>
          </w:tcPr>
          <w:p w:rsidR="004943A4" w:rsidRPr="002D4E19" w:rsidRDefault="004943A4" w:rsidP="002D4E19">
            <w:pPr>
              <w:jc w:val="right"/>
              <w:rPr>
                <w:sz w:val="20"/>
                <w:szCs w:val="20"/>
              </w:rPr>
            </w:pPr>
            <w:r w:rsidRPr="002D4E19">
              <w:rPr>
                <w:sz w:val="20"/>
                <w:szCs w:val="20"/>
              </w:rPr>
              <w:t>5</w:t>
            </w:r>
          </w:p>
        </w:tc>
        <w:tc>
          <w:tcPr>
            <w:tcW w:w="3600" w:type="dxa"/>
          </w:tcPr>
          <w:p w:rsidR="004943A4" w:rsidRPr="002D4E19" w:rsidRDefault="000C71FB" w:rsidP="000C71FB">
            <w:pPr>
              <w:rPr>
                <w:sz w:val="18"/>
                <w:szCs w:val="18"/>
              </w:rPr>
            </w:pPr>
            <w:r w:rsidRPr="002D4E19">
              <w:rPr>
                <w:sz w:val="18"/>
                <w:szCs w:val="18"/>
              </w:rPr>
              <w:t>“</w:t>
            </w:r>
            <w:r w:rsidR="004943A4" w:rsidRPr="002D4E19">
              <w:rPr>
                <w:sz w:val="18"/>
                <w:szCs w:val="18"/>
              </w:rPr>
              <w:t>Over the last two years, we have begun rebuilding for the 21st century, a project that has meant thousands of good jobs for the hard-hit construction industry. Tonight, I’m proposing that we redouble these efforts.</w:t>
            </w:r>
            <w:r w:rsidR="004943A4" w:rsidRPr="002D4E19">
              <w:rPr>
                <w:sz w:val="18"/>
                <w:szCs w:val="18"/>
              </w:rPr>
              <w:br/>
              <w:t>We will put more Americans to work repairing crumbling roads and bridges. We will make sure this is fully paid for, attract private investment, and pick projects based on what’s best for the economy, not politicians.</w:t>
            </w:r>
            <w:r w:rsidRPr="002D4E19">
              <w:rPr>
                <w:sz w:val="18"/>
                <w:szCs w:val="18"/>
              </w:rPr>
              <w:t>”</w:t>
            </w:r>
          </w:p>
        </w:tc>
        <w:tc>
          <w:tcPr>
            <w:tcW w:w="2160" w:type="dxa"/>
            <w:vAlign w:val="bottom"/>
          </w:tcPr>
          <w:p w:rsidR="004943A4" w:rsidRPr="002D4E19" w:rsidRDefault="004943A4" w:rsidP="002D4E19">
            <w:pPr>
              <w:jc w:val="center"/>
              <w:rPr>
                <w:sz w:val="18"/>
                <w:szCs w:val="18"/>
              </w:rPr>
            </w:pPr>
            <w:r w:rsidRPr="002D4E19">
              <w:rPr>
                <w:sz w:val="18"/>
                <w:szCs w:val="18"/>
              </w:rPr>
              <w:t>$50</w:t>
            </w:r>
          </w:p>
        </w:tc>
        <w:tc>
          <w:tcPr>
            <w:tcW w:w="4500" w:type="dxa"/>
          </w:tcPr>
          <w:p w:rsidR="00706CE4" w:rsidRPr="002D4E19" w:rsidRDefault="004943A4" w:rsidP="00A574AE">
            <w:pPr>
              <w:rPr>
                <w:sz w:val="18"/>
                <w:szCs w:val="18"/>
              </w:rPr>
            </w:pPr>
            <w:r w:rsidRPr="002D4E19">
              <w:rPr>
                <w:sz w:val="18"/>
                <w:szCs w:val="18"/>
              </w:rPr>
              <w:t xml:space="preserve">Last September, the President called for </w:t>
            </w:r>
            <w:r w:rsidR="00706CE4" w:rsidRPr="002D4E19">
              <w:rPr>
                <w:sz w:val="18"/>
                <w:szCs w:val="18"/>
              </w:rPr>
              <w:t xml:space="preserve">a </w:t>
            </w:r>
            <w:r w:rsidRPr="002D4E19">
              <w:rPr>
                <w:sz w:val="18"/>
                <w:szCs w:val="18"/>
              </w:rPr>
              <w:t xml:space="preserve">$50 billion </w:t>
            </w:r>
            <w:r w:rsidR="000C71FB" w:rsidRPr="002D4E19">
              <w:rPr>
                <w:sz w:val="18"/>
                <w:szCs w:val="18"/>
              </w:rPr>
              <w:t>“</w:t>
            </w:r>
            <w:r w:rsidRPr="002D4E19">
              <w:rPr>
                <w:sz w:val="18"/>
                <w:szCs w:val="18"/>
              </w:rPr>
              <w:t>quick infusion</w:t>
            </w:r>
            <w:r w:rsidR="000C71FB" w:rsidRPr="002D4E19">
              <w:rPr>
                <w:sz w:val="18"/>
                <w:szCs w:val="18"/>
              </w:rPr>
              <w:t>”</w:t>
            </w:r>
            <w:r w:rsidRPr="002D4E19">
              <w:rPr>
                <w:sz w:val="18"/>
                <w:szCs w:val="18"/>
              </w:rPr>
              <w:t xml:space="preserve"> of infrastructure funding on top of the reauthorization of the transportation bill. </w:t>
            </w:r>
          </w:p>
          <w:p w:rsidR="004943A4" w:rsidRPr="002D4E19" w:rsidRDefault="004943A4" w:rsidP="00A574AE">
            <w:pPr>
              <w:rPr>
                <w:sz w:val="18"/>
                <w:szCs w:val="18"/>
              </w:rPr>
            </w:pPr>
            <w:r w:rsidRPr="002D4E19">
              <w:rPr>
                <w:sz w:val="18"/>
                <w:szCs w:val="18"/>
              </w:rPr>
              <w:t>http://www.nytimes.com/2010/09/07/us/politics/07obama.html</w:t>
            </w:r>
          </w:p>
        </w:tc>
      </w:tr>
      <w:tr w:rsidR="004943A4" w:rsidRPr="004943A4" w:rsidTr="00DF2B06">
        <w:trPr>
          <w:trHeight w:val="56"/>
        </w:trPr>
        <w:tc>
          <w:tcPr>
            <w:tcW w:w="816" w:type="dxa"/>
            <w:vAlign w:val="bottom"/>
          </w:tcPr>
          <w:p w:rsidR="004943A4" w:rsidRPr="002D4E19" w:rsidRDefault="004943A4" w:rsidP="002D4E19">
            <w:pPr>
              <w:jc w:val="right"/>
              <w:rPr>
                <w:sz w:val="20"/>
                <w:szCs w:val="20"/>
              </w:rPr>
            </w:pPr>
            <w:r w:rsidRPr="002D4E19">
              <w:rPr>
                <w:sz w:val="20"/>
                <w:szCs w:val="20"/>
              </w:rPr>
              <w:lastRenderedPageBreak/>
              <w:t>6</w:t>
            </w:r>
          </w:p>
        </w:tc>
        <w:tc>
          <w:tcPr>
            <w:tcW w:w="3600" w:type="dxa"/>
          </w:tcPr>
          <w:p w:rsidR="004943A4" w:rsidRPr="002D4E19" w:rsidRDefault="000C71FB" w:rsidP="000C71FB">
            <w:pPr>
              <w:rPr>
                <w:sz w:val="18"/>
                <w:szCs w:val="18"/>
              </w:rPr>
            </w:pPr>
            <w:r w:rsidRPr="002D4E19">
              <w:rPr>
                <w:sz w:val="18"/>
                <w:szCs w:val="18"/>
              </w:rPr>
              <w:t>“</w:t>
            </w:r>
            <w:r w:rsidR="004943A4" w:rsidRPr="002D4E19">
              <w:rPr>
                <w:sz w:val="18"/>
                <w:szCs w:val="18"/>
              </w:rPr>
              <w:t>Within the next five years, we will make it possible for business to deploy the next generation of high-speed wireless coverage to 98% of all Americans.</w:t>
            </w:r>
            <w:r w:rsidRPr="002D4E19">
              <w:rPr>
                <w:sz w:val="18"/>
                <w:szCs w:val="18"/>
              </w:rPr>
              <w:t>”</w:t>
            </w:r>
          </w:p>
        </w:tc>
        <w:tc>
          <w:tcPr>
            <w:tcW w:w="2160" w:type="dxa"/>
            <w:vAlign w:val="bottom"/>
          </w:tcPr>
          <w:p w:rsidR="004943A4" w:rsidRPr="002D4E19" w:rsidRDefault="004943A4" w:rsidP="002D4E19">
            <w:pPr>
              <w:jc w:val="center"/>
              <w:rPr>
                <w:sz w:val="18"/>
                <w:szCs w:val="18"/>
              </w:rPr>
            </w:pPr>
            <w:r w:rsidRPr="002D4E19">
              <w:rPr>
                <w:sz w:val="18"/>
                <w:szCs w:val="18"/>
              </w:rPr>
              <w:t>Unknown.</w:t>
            </w:r>
          </w:p>
        </w:tc>
        <w:tc>
          <w:tcPr>
            <w:tcW w:w="4500" w:type="dxa"/>
          </w:tcPr>
          <w:p w:rsidR="00706CE4" w:rsidRPr="002D4E19" w:rsidRDefault="004943A4" w:rsidP="00A574AE">
            <w:pPr>
              <w:rPr>
                <w:sz w:val="18"/>
                <w:szCs w:val="18"/>
              </w:rPr>
            </w:pPr>
            <w:r w:rsidRPr="002D4E19">
              <w:rPr>
                <w:sz w:val="18"/>
                <w:szCs w:val="18"/>
              </w:rPr>
              <w:t xml:space="preserve">According to news reports, the White House is planning on making new spectrum available. The receipts generated from spectrum auctions are scored as negative outlays. However, it is unknown if this initiative will require additional incentives for deployment of broadband and wireless technology. </w:t>
            </w:r>
          </w:p>
          <w:p w:rsidR="004943A4" w:rsidRPr="002D4E19" w:rsidRDefault="004943A4" w:rsidP="00A574AE">
            <w:pPr>
              <w:rPr>
                <w:sz w:val="18"/>
                <w:szCs w:val="18"/>
              </w:rPr>
            </w:pPr>
            <w:r w:rsidRPr="002D4E19">
              <w:rPr>
                <w:sz w:val="18"/>
                <w:szCs w:val="18"/>
              </w:rPr>
              <w:t>http://www.reuters.com/article/idUSTRE70P11020110126</w:t>
            </w:r>
          </w:p>
        </w:tc>
      </w:tr>
      <w:tr w:rsidR="004943A4" w:rsidRPr="004943A4" w:rsidTr="00DF2B06">
        <w:tc>
          <w:tcPr>
            <w:tcW w:w="816" w:type="dxa"/>
            <w:vAlign w:val="bottom"/>
          </w:tcPr>
          <w:p w:rsidR="004943A4" w:rsidRPr="002D4E19" w:rsidRDefault="004943A4" w:rsidP="002D4E19">
            <w:pPr>
              <w:jc w:val="right"/>
              <w:rPr>
                <w:sz w:val="20"/>
                <w:szCs w:val="20"/>
              </w:rPr>
            </w:pPr>
            <w:r w:rsidRPr="002D4E19">
              <w:rPr>
                <w:sz w:val="20"/>
                <w:szCs w:val="20"/>
              </w:rPr>
              <w:t>7</w:t>
            </w:r>
          </w:p>
        </w:tc>
        <w:tc>
          <w:tcPr>
            <w:tcW w:w="3600" w:type="dxa"/>
          </w:tcPr>
          <w:p w:rsidR="004943A4" w:rsidRPr="002D4E19" w:rsidRDefault="00076675" w:rsidP="000C71FB">
            <w:pPr>
              <w:rPr>
                <w:sz w:val="18"/>
                <w:szCs w:val="18"/>
              </w:rPr>
            </w:pPr>
            <w:r w:rsidRPr="002D4E19">
              <w:rPr>
                <w:sz w:val="18"/>
                <w:szCs w:val="18"/>
              </w:rPr>
              <w:t>“</w:t>
            </w:r>
            <w:r w:rsidR="004943A4" w:rsidRPr="002D4E19">
              <w:rPr>
                <w:sz w:val="18"/>
                <w:szCs w:val="18"/>
              </w:rPr>
              <w:t xml:space="preserve">Before I took office, I made it clear that we would enforce our trade agreements, and that I would only sign deals that keep faith with American workers, and promote American jobs. That’s what we did with </w:t>
            </w:r>
            <w:smartTag w:uri="urn:schemas-microsoft-com:office:smarttags" w:element="country-region">
              <w:r w:rsidR="004943A4" w:rsidRPr="002D4E19">
                <w:rPr>
                  <w:sz w:val="18"/>
                  <w:szCs w:val="18"/>
                </w:rPr>
                <w:t>Korea</w:t>
              </w:r>
            </w:smartTag>
            <w:r w:rsidR="004943A4" w:rsidRPr="002D4E19">
              <w:rPr>
                <w:sz w:val="18"/>
                <w:szCs w:val="18"/>
              </w:rPr>
              <w:t xml:space="preserve">, and that’s what I intend to do as we pursue agreements with </w:t>
            </w:r>
            <w:smartTag w:uri="urn:schemas-microsoft-com:office:smarttags" w:element="country-region">
              <w:r w:rsidR="004943A4" w:rsidRPr="002D4E19">
                <w:rPr>
                  <w:sz w:val="18"/>
                  <w:szCs w:val="18"/>
                </w:rPr>
                <w:t>Panama</w:t>
              </w:r>
            </w:smartTag>
            <w:r w:rsidR="004943A4" w:rsidRPr="002D4E19">
              <w:rPr>
                <w:sz w:val="18"/>
                <w:szCs w:val="18"/>
              </w:rPr>
              <w:t xml:space="preserve"> and </w:t>
            </w:r>
            <w:smartTag w:uri="urn:schemas-microsoft-com:office:smarttags" w:element="country-region">
              <w:smartTag w:uri="urn:schemas-microsoft-com:office:smarttags" w:element="place">
                <w:r w:rsidR="004943A4" w:rsidRPr="002D4E19">
                  <w:rPr>
                    <w:sz w:val="18"/>
                    <w:szCs w:val="18"/>
                  </w:rPr>
                  <w:t>Colombia</w:t>
                </w:r>
              </w:smartTag>
            </w:smartTag>
            <w:r w:rsidR="004943A4" w:rsidRPr="002D4E19">
              <w:rPr>
                <w:sz w:val="18"/>
                <w:szCs w:val="18"/>
              </w:rPr>
              <w:t>, and continue our Asia Pacific and global trade talks.</w:t>
            </w:r>
            <w:r w:rsidRPr="002D4E19">
              <w:rPr>
                <w:sz w:val="18"/>
                <w:szCs w:val="18"/>
              </w:rPr>
              <w:t>”</w:t>
            </w:r>
          </w:p>
        </w:tc>
        <w:tc>
          <w:tcPr>
            <w:tcW w:w="2160" w:type="dxa"/>
            <w:vAlign w:val="bottom"/>
          </w:tcPr>
          <w:p w:rsidR="004943A4" w:rsidRPr="002D4E19" w:rsidRDefault="004943A4" w:rsidP="002D4E19">
            <w:pPr>
              <w:jc w:val="center"/>
              <w:rPr>
                <w:sz w:val="18"/>
                <w:szCs w:val="18"/>
              </w:rPr>
            </w:pPr>
            <w:r w:rsidRPr="002D4E19">
              <w:rPr>
                <w:sz w:val="18"/>
                <w:szCs w:val="18"/>
              </w:rPr>
              <w:t>Unknown.</w:t>
            </w:r>
          </w:p>
        </w:tc>
        <w:tc>
          <w:tcPr>
            <w:tcW w:w="4500" w:type="dxa"/>
          </w:tcPr>
          <w:p w:rsidR="004943A4" w:rsidRPr="002D4E19" w:rsidRDefault="004943A4" w:rsidP="00A574AE">
            <w:pPr>
              <w:rPr>
                <w:sz w:val="18"/>
                <w:szCs w:val="18"/>
              </w:rPr>
            </w:pPr>
            <w:r w:rsidRPr="002D4E19">
              <w:rPr>
                <w:sz w:val="18"/>
                <w:szCs w:val="18"/>
              </w:rPr>
              <w:t xml:space="preserve">The primary impact of free trade bills is generally on federal revenues. Depending on the terms of the agreement, there may be some outlays as well. For example, the </w:t>
            </w:r>
            <w:r w:rsidR="007A04D2">
              <w:rPr>
                <w:sz w:val="18"/>
                <w:szCs w:val="18"/>
              </w:rPr>
              <w:t xml:space="preserve">CBO </w:t>
            </w:r>
            <w:r w:rsidRPr="002D4E19">
              <w:rPr>
                <w:sz w:val="18"/>
                <w:szCs w:val="18"/>
              </w:rPr>
              <w:t xml:space="preserve"> projects that H.R. 3688, the United States-Peru Trade Promotion Agreement Implementation Act (110th Congress), </w:t>
            </w:r>
            <w:r w:rsidR="000C71FB" w:rsidRPr="002D4E19">
              <w:rPr>
                <w:sz w:val="18"/>
                <w:szCs w:val="18"/>
              </w:rPr>
              <w:t>“</w:t>
            </w:r>
            <w:r w:rsidRPr="002D4E19">
              <w:rPr>
                <w:sz w:val="18"/>
                <w:szCs w:val="18"/>
              </w:rPr>
              <w:t xml:space="preserve">would reduce revenues by $20 million in 2008, increase revenues by $292 million over the 2008-2012 period, and reduce revenues by $423 million over the 2008-2017 period. CBO estimates that enacting H.R. 3688 also would increase direct spending by $4 million in 2008 and by $27 million over the 2008-2012 </w:t>
            </w:r>
            <w:proofErr w:type="gramStart"/>
            <w:r w:rsidRPr="002D4E19">
              <w:rPr>
                <w:sz w:val="18"/>
                <w:szCs w:val="18"/>
              </w:rPr>
              <w:t>period</w:t>
            </w:r>
            <w:proofErr w:type="gramEnd"/>
            <w:r w:rsidRPr="002D4E19">
              <w:rPr>
                <w:sz w:val="18"/>
                <w:szCs w:val="18"/>
              </w:rPr>
              <w:t>, and reduce direct spending by $443 million over the 2008-2017 period. Further, CBO estimates that implementing the legislation would result in new discretionary spending of less than $500,000 per year, assuming the availability of appropriated funds.</w:t>
            </w:r>
            <w:r w:rsidR="000C71FB" w:rsidRPr="002D4E19">
              <w:rPr>
                <w:sz w:val="18"/>
                <w:szCs w:val="18"/>
              </w:rPr>
              <w:t>”</w:t>
            </w:r>
            <w:r w:rsidRPr="002D4E19">
              <w:rPr>
                <w:sz w:val="18"/>
                <w:szCs w:val="18"/>
              </w:rPr>
              <w:br/>
              <w:t>http://www.cbo.gov/ftpdoc.cfm?index=8790&amp;type=1</w:t>
            </w:r>
          </w:p>
        </w:tc>
      </w:tr>
      <w:tr w:rsidR="004943A4" w:rsidRPr="004943A4" w:rsidTr="00DF2B06">
        <w:tc>
          <w:tcPr>
            <w:tcW w:w="816" w:type="dxa"/>
            <w:vAlign w:val="bottom"/>
          </w:tcPr>
          <w:p w:rsidR="004943A4" w:rsidRPr="002D4E19" w:rsidRDefault="004943A4" w:rsidP="002D4E19">
            <w:pPr>
              <w:jc w:val="right"/>
              <w:rPr>
                <w:sz w:val="20"/>
                <w:szCs w:val="20"/>
              </w:rPr>
            </w:pPr>
            <w:r w:rsidRPr="002D4E19">
              <w:rPr>
                <w:sz w:val="20"/>
                <w:szCs w:val="20"/>
              </w:rPr>
              <w:t>8</w:t>
            </w:r>
          </w:p>
        </w:tc>
        <w:tc>
          <w:tcPr>
            <w:tcW w:w="3600" w:type="dxa"/>
          </w:tcPr>
          <w:p w:rsidR="004943A4" w:rsidRPr="002D4E19" w:rsidRDefault="000C71FB" w:rsidP="000C71FB">
            <w:pPr>
              <w:rPr>
                <w:sz w:val="18"/>
                <w:szCs w:val="18"/>
              </w:rPr>
            </w:pPr>
            <w:r w:rsidRPr="002D4E19">
              <w:rPr>
                <w:sz w:val="18"/>
                <w:szCs w:val="18"/>
              </w:rPr>
              <w:t>“</w:t>
            </w:r>
            <w:r w:rsidR="004943A4" w:rsidRPr="002D4E19">
              <w:rPr>
                <w:sz w:val="18"/>
                <w:szCs w:val="18"/>
              </w:rPr>
              <w:t>We can start right now by correcting a flaw in the legislation that has placed an unnecessary bookkeeping burden on small businesses.</w:t>
            </w:r>
            <w:r w:rsidRPr="002D4E19">
              <w:rPr>
                <w:sz w:val="18"/>
                <w:szCs w:val="18"/>
              </w:rPr>
              <w:t>”</w:t>
            </w:r>
          </w:p>
        </w:tc>
        <w:tc>
          <w:tcPr>
            <w:tcW w:w="2160" w:type="dxa"/>
            <w:vAlign w:val="bottom"/>
          </w:tcPr>
          <w:p w:rsidR="004943A4" w:rsidRPr="002D4E19" w:rsidRDefault="004943A4" w:rsidP="002D4E19">
            <w:pPr>
              <w:jc w:val="center"/>
              <w:rPr>
                <w:sz w:val="18"/>
                <w:szCs w:val="18"/>
              </w:rPr>
            </w:pPr>
            <w:r w:rsidRPr="002D4E19">
              <w:rPr>
                <w:sz w:val="18"/>
                <w:szCs w:val="18"/>
              </w:rPr>
              <w:t>Unknown.</w:t>
            </w:r>
          </w:p>
        </w:tc>
        <w:tc>
          <w:tcPr>
            <w:tcW w:w="4500" w:type="dxa"/>
          </w:tcPr>
          <w:p w:rsidR="004943A4" w:rsidRPr="002D4E19" w:rsidRDefault="004943A4" w:rsidP="00A574AE">
            <w:pPr>
              <w:rPr>
                <w:sz w:val="18"/>
                <w:szCs w:val="18"/>
              </w:rPr>
            </w:pPr>
            <w:r w:rsidRPr="002D4E19">
              <w:rPr>
                <w:sz w:val="18"/>
                <w:szCs w:val="18"/>
              </w:rPr>
              <w:t>It is unknown whether or not this would generate any administrative cost savings at the Internal Revenue Service.</w:t>
            </w:r>
          </w:p>
        </w:tc>
      </w:tr>
      <w:tr w:rsidR="004943A4" w:rsidRPr="004943A4" w:rsidTr="00DF2B06">
        <w:tc>
          <w:tcPr>
            <w:tcW w:w="816" w:type="dxa"/>
            <w:vAlign w:val="bottom"/>
          </w:tcPr>
          <w:p w:rsidR="004943A4" w:rsidRPr="002D4E19" w:rsidRDefault="004943A4" w:rsidP="002D4E19">
            <w:pPr>
              <w:jc w:val="right"/>
              <w:rPr>
                <w:sz w:val="20"/>
                <w:szCs w:val="20"/>
              </w:rPr>
            </w:pPr>
            <w:r w:rsidRPr="002D4E19">
              <w:rPr>
                <w:sz w:val="20"/>
                <w:szCs w:val="20"/>
              </w:rPr>
              <w:t>9</w:t>
            </w:r>
          </w:p>
        </w:tc>
        <w:tc>
          <w:tcPr>
            <w:tcW w:w="3600" w:type="dxa"/>
          </w:tcPr>
          <w:p w:rsidR="004943A4" w:rsidRPr="002D4E19" w:rsidRDefault="000C71FB" w:rsidP="000C71FB">
            <w:pPr>
              <w:rPr>
                <w:sz w:val="18"/>
                <w:szCs w:val="18"/>
              </w:rPr>
            </w:pPr>
            <w:r w:rsidRPr="002D4E19">
              <w:rPr>
                <w:sz w:val="18"/>
                <w:szCs w:val="18"/>
              </w:rPr>
              <w:t>“</w:t>
            </w:r>
            <w:r w:rsidR="004943A4" w:rsidRPr="002D4E19">
              <w:rPr>
                <w:sz w:val="18"/>
                <w:szCs w:val="18"/>
              </w:rPr>
              <w:t>So tonight, I am proposing that starting this year, we freeze annual domestic spending for the next five years.</w:t>
            </w:r>
            <w:r w:rsidR="00076675" w:rsidRPr="002D4E19">
              <w:rPr>
                <w:sz w:val="18"/>
                <w:szCs w:val="18"/>
              </w:rPr>
              <w:t>”</w:t>
            </w:r>
          </w:p>
        </w:tc>
        <w:tc>
          <w:tcPr>
            <w:tcW w:w="2160" w:type="dxa"/>
            <w:vAlign w:val="bottom"/>
          </w:tcPr>
          <w:p w:rsidR="004943A4" w:rsidRPr="002D4E19" w:rsidRDefault="004943A4" w:rsidP="002D4E19">
            <w:pPr>
              <w:jc w:val="center"/>
              <w:rPr>
                <w:sz w:val="18"/>
                <w:szCs w:val="18"/>
              </w:rPr>
            </w:pPr>
            <w:r w:rsidRPr="002D4E19">
              <w:rPr>
                <w:color w:val="FF0000"/>
                <w:sz w:val="18"/>
                <w:szCs w:val="18"/>
              </w:rPr>
              <w:t>($15)</w:t>
            </w:r>
          </w:p>
        </w:tc>
        <w:tc>
          <w:tcPr>
            <w:tcW w:w="4500" w:type="dxa"/>
          </w:tcPr>
          <w:p w:rsidR="00076675" w:rsidRPr="002D4E19" w:rsidRDefault="004943A4" w:rsidP="00A574AE">
            <w:pPr>
              <w:rPr>
                <w:sz w:val="18"/>
                <w:szCs w:val="18"/>
              </w:rPr>
            </w:pPr>
            <w:r w:rsidRPr="002D4E19">
              <w:rPr>
                <w:sz w:val="18"/>
                <w:szCs w:val="18"/>
              </w:rPr>
              <w:t xml:space="preserve">Last year, the President proposed a partial discretionary spending freeze over three years for a savings of $250 billion over ten years. This year, he would extend that freeze an additional two years for a net additional savings </w:t>
            </w:r>
            <w:r w:rsidR="003F05E2">
              <w:rPr>
                <w:sz w:val="18"/>
                <w:szCs w:val="18"/>
              </w:rPr>
              <w:t>of $150 billion over ten years.</w:t>
            </w:r>
          </w:p>
          <w:p w:rsidR="00706CE4" w:rsidRPr="002D4E19" w:rsidRDefault="004D1655" w:rsidP="00A574AE">
            <w:pPr>
              <w:rPr>
                <w:sz w:val="18"/>
                <w:szCs w:val="18"/>
              </w:rPr>
            </w:pPr>
            <w:r w:rsidRPr="004D1655">
              <w:rPr>
                <w:sz w:val="18"/>
                <w:szCs w:val="18"/>
              </w:rPr>
              <w:t xml:space="preserve">http://www.nytimes.com/2010/01/26/us/politics/26budget.html </w:t>
            </w:r>
            <w:r w:rsidR="004943A4" w:rsidRPr="002D4E19">
              <w:rPr>
                <w:sz w:val="18"/>
                <w:szCs w:val="18"/>
              </w:rPr>
              <w:t xml:space="preserve">(2010 </w:t>
            </w:r>
            <w:r w:rsidR="003F05E2">
              <w:rPr>
                <w:sz w:val="18"/>
                <w:szCs w:val="18"/>
              </w:rPr>
              <w:t>figure: $250 billion/10 years)</w:t>
            </w:r>
          </w:p>
          <w:p w:rsidR="003F05E2" w:rsidRDefault="003F05E2" w:rsidP="00A574AE">
            <w:pPr>
              <w:rPr>
                <w:sz w:val="18"/>
                <w:szCs w:val="18"/>
              </w:rPr>
            </w:pPr>
          </w:p>
          <w:p w:rsidR="004943A4" w:rsidRPr="002D4E19" w:rsidRDefault="004943A4" w:rsidP="00A574AE">
            <w:pPr>
              <w:rPr>
                <w:sz w:val="18"/>
                <w:szCs w:val="18"/>
              </w:rPr>
            </w:pPr>
            <w:r w:rsidRPr="002D4E19">
              <w:rPr>
                <w:sz w:val="18"/>
                <w:szCs w:val="18"/>
              </w:rPr>
              <w:t xml:space="preserve">http://www.bloomberg.com/news/2011-01-26/obama-seeks-400-billion-savings-in-spending-freeze.html (2011 </w:t>
            </w:r>
            <w:r w:rsidR="003F05E2">
              <w:rPr>
                <w:sz w:val="18"/>
                <w:szCs w:val="18"/>
              </w:rPr>
              <w:t>figure: $400 billion/10 years)</w:t>
            </w:r>
          </w:p>
        </w:tc>
      </w:tr>
      <w:tr w:rsidR="004943A4" w:rsidRPr="004943A4" w:rsidTr="00DF2B06">
        <w:tc>
          <w:tcPr>
            <w:tcW w:w="816" w:type="dxa"/>
            <w:vAlign w:val="bottom"/>
          </w:tcPr>
          <w:p w:rsidR="004943A4" w:rsidRPr="002D4E19" w:rsidRDefault="004943A4" w:rsidP="002D4E19">
            <w:pPr>
              <w:jc w:val="right"/>
              <w:rPr>
                <w:sz w:val="20"/>
                <w:szCs w:val="20"/>
              </w:rPr>
            </w:pPr>
            <w:r w:rsidRPr="002D4E19">
              <w:rPr>
                <w:sz w:val="20"/>
                <w:szCs w:val="20"/>
              </w:rPr>
              <w:t>10</w:t>
            </w:r>
          </w:p>
        </w:tc>
        <w:tc>
          <w:tcPr>
            <w:tcW w:w="3600" w:type="dxa"/>
          </w:tcPr>
          <w:p w:rsidR="004943A4" w:rsidRPr="002D4E19" w:rsidRDefault="000C71FB" w:rsidP="000C71FB">
            <w:pPr>
              <w:rPr>
                <w:sz w:val="18"/>
                <w:szCs w:val="18"/>
              </w:rPr>
            </w:pPr>
            <w:r w:rsidRPr="002D4E19">
              <w:rPr>
                <w:sz w:val="18"/>
                <w:szCs w:val="18"/>
              </w:rPr>
              <w:t>“</w:t>
            </w:r>
            <w:r w:rsidR="004943A4" w:rsidRPr="002D4E19">
              <w:rPr>
                <w:sz w:val="18"/>
                <w:szCs w:val="18"/>
              </w:rPr>
              <w:t>I’ve proposed cuts to things I care deeply about, like community action programs.</w:t>
            </w:r>
            <w:r w:rsidRPr="002D4E19">
              <w:rPr>
                <w:sz w:val="18"/>
                <w:szCs w:val="18"/>
              </w:rPr>
              <w:t>”</w:t>
            </w:r>
          </w:p>
        </w:tc>
        <w:tc>
          <w:tcPr>
            <w:tcW w:w="2160" w:type="dxa"/>
            <w:vAlign w:val="bottom"/>
          </w:tcPr>
          <w:p w:rsidR="004943A4" w:rsidRPr="002D4E19" w:rsidRDefault="004943A4" w:rsidP="002D4E19">
            <w:pPr>
              <w:jc w:val="center"/>
              <w:rPr>
                <w:sz w:val="18"/>
                <w:szCs w:val="18"/>
              </w:rPr>
            </w:pPr>
            <w:r w:rsidRPr="002D4E19">
              <w:rPr>
                <w:sz w:val="18"/>
                <w:szCs w:val="18"/>
              </w:rPr>
              <w:t>Unknown.</w:t>
            </w:r>
          </w:p>
        </w:tc>
        <w:tc>
          <w:tcPr>
            <w:tcW w:w="4500" w:type="dxa"/>
          </w:tcPr>
          <w:p w:rsidR="00076675" w:rsidRPr="002D4E19" w:rsidRDefault="00076675" w:rsidP="00A574AE">
            <w:pPr>
              <w:rPr>
                <w:sz w:val="18"/>
                <w:szCs w:val="18"/>
              </w:rPr>
            </w:pPr>
            <w:r w:rsidRPr="002D4E19">
              <w:rPr>
                <w:sz w:val="18"/>
                <w:szCs w:val="18"/>
              </w:rPr>
              <w:t>It is unclear to which of the spending-reduction proposals in his FY 2011 budget the President is referring; there are several items in the “Terminations. Reductions, and Savings” section that could fit this description.</w:t>
            </w:r>
          </w:p>
          <w:p w:rsidR="00076675" w:rsidRPr="002D4E19" w:rsidRDefault="003F05E2" w:rsidP="00A574AE">
            <w:pPr>
              <w:rPr>
                <w:sz w:val="18"/>
                <w:szCs w:val="18"/>
              </w:rPr>
            </w:pPr>
            <w:r w:rsidRPr="003F05E2">
              <w:rPr>
                <w:sz w:val="18"/>
                <w:szCs w:val="18"/>
              </w:rPr>
              <w:t>http://www.whitehouse.gov/sites/default/files/omb/budget/fy2011/assets/trs.pdf</w:t>
            </w:r>
          </w:p>
        </w:tc>
      </w:tr>
      <w:tr w:rsidR="004943A4" w:rsidRPr="004943A4" w:rsidTr="00DF2B06">
        <w:tc>
          <w:tcPr>
            <w:tcW w:w="816" w:type="dxa"/>
            <w:vAlign w:val="bottom"/>
          </w:tcPr>
          <w:p w:rsidR="004943A4" w:rsidRPr="002D4E19" w:rsidRDefault="004943A4" w:rsidP="002D4E19">
            <w:pPr>
              <w:jc w:val="right"/>
              <w:rPr>
                <w:sz w:val="20"/>
                <w:szCs w:val="20"/>
              </w:rPr>
            </w:pPr>
            <w:r w:rsidRPr="002D4E19">
              <w:rPr>
                <w:sz w:val="20"/>
                <w:szCs w:val="20"/>
              </w:rPr>
              <w:t>11</w:t>
            </w:r>
          </w:p>
        </w:tc>
        <w:tc>
          <w:tcPr>
            <w:tcW w:w="3600" w:type="dxa"/>
          </w:tcPr>
          <w:p w:rsidR="004943A4" w:rsidRPr="002D4E19" w:rsidRDefault="000C71FB" w:rsidP="000C71FB">
            <w:pPr>
              <w:rPr>
                <w:sz w:val="18"/>
                <w:szCs w:val="18"/>
              </w:rPr>
            </w:pPr>
            <w:r w:rsidRPr="002D4E19">
              <w:rPr>
                <w:sz w:val="18"/>
                <w:szCs w:val="18"/>
              </w:rPr>
              <w:t>“</w:t>
            </w:r>
            <w:r w:rsidR="004943A4" w:rsidRPr="002D4E19">
              <w:rPr>
                <w:sz w:val="18"/>
                <w:szCs w:val="18"/>
              </w:rPr>
              <w:t>The Secretary of Defense has also agreed to cut tens of billions of dollars in spending that he and his generals believe our military can do without.</w:t>
            </w:r>
            <w:r w:rsidRPr="002D4E19">
              <w:rPr>
                <w:sz w:val="18"/>
                <w:szCs w:val="18"/>
              </w:rPr>
              <w:t>”</w:t>
            </w:r>
          </w:p>
        </w:tc>
        <w:tc>
          <w:tcPr>
            <w:tcW w:w="2160" w:type="dxa"/>
            <w:vAlign w:val="bottom"/>
          </w:tcPr>
          <w:p w:rsidR="004943A4" w:rsidRPr="002D4E19" w:rsidRDefault="004943A4" w:rsidP="002D4E19">
            <w:pPr>
              <w:jc w:val="center"/>
              <w:rPr>
                <w:sz w:val="18"/>
                <w:szCs w:val="18"/>
              </w:rPr>
            </w:pPr>
            <w:r w:rsidRPr="002D4E19">
              <w:rPr>
                <w:color w:val="FF0000"/>
                <w:sz w:val="18"/>
                <w:szCs w:val="18"/>
              </w:rPr>
              <w:t>($15.6)</w:t>
            </w:r>
          </w:p>
        </w:tc>
        <w:tc>
          <w:tcPr>
            <w:tcW w:w="4500" w:type="dxa"/>
          </w:tcPr>
          <w:p w:rsidR="00612635" w:rsidRDefault="00612635" w:rsidP="00A574AE">
            <w:pPr>
              <w:rPr>
                <w:sz w:val="18"/>
                <w:szCs w:val="18"/>
              </w:rPr>
            </w:pPr>
            <w:r>
              <w:rPr>
                <w:sz w:val="18"/>
                <w:szCs w:val="18"/>
              </w:rPr>
              <w:t>The Secretary of Defense’s proposal is expected to save $78 billion over five years.</w:t>
            </w:r>
          </w:p>
          <w:p w:rsidR="004943A4" w:rsidRPr="002D4E19" w:rsidRDefault="003F05E2" w:rsidP="00A574AE">
            <w:pPr>
              <w:rPr>
                <w:sz w:val="18"/>
                <w:szCs w:val="18"/>
              </w:rPr>
            </w:pPr>
            <w:r w:rsidRPr="003F05E2">
              <w:rPr>
                <w:sz w:val="18"/>
                <w:szCs w:val="18"/>
              </w:rPr>
              <w:t>http://www.nytimes.com/2011/01/26/us/politics/26speech.html</w:t>
            </w:r>
          </w:p>
        </w:tc>
      </w:tr>
      <w:tr w:rsidR="004943A4" w:rsidRPr="004943A4" w:rsidTr="00DF2B06">
        <w:tc>
          <w:tcPr>
            <w:tcW w:w="816" w:type="dxa"/>
            <w:vAlign w:val="bottom"/>
          </w:tcPr>
          <w:p w:rsidR="004943A4" w:rsidRPr="002D4E19" w:rsidRDefault="004943A4" w:rsidP="002D4E19">
            <w:pPr>
              <w:jc w:val="right"/>
              <w:rPr>
                <w:sz w:val="20"/>
                <w:szCs w:val="20"/>
              </w:rPr>
            </w:pPr>
            <w:r w:rsidRPr="002D4E19">
              <w:rPr>
                <w:sz w:val="20"/>
                <w:szCs w:val="20"/>
              </w:rPr>
              <w:t>12</w:t>
            </w:r>
          </w:p>
        </w:tc>
        <w:tc>
          <w:tcPr>
            <w:tcW w:w="3600" w:type="dxa"/>
          </w:tcPr>
          <w:p w:rsidR="004943A4" w:rsidRPr="002D4E19" w:rsidRDefault="000C71FB" w:rsidP="000C71FB">
            <w:pPr>
              <w:rPr>
                <w:sz w:val="18"/>
                <w:szCs w:val="18"/>
              </w:rPr>
            </w:pPr>
            <w:r w:rsidRPr="002D4E19">
              <w:rPr>
                <w:sz w:val="18"/>
                <w:szCs w:val="18"/>
              </w:rPr>
              <w:t>“</w:t>
            </w:r>
            <w:r w:rsidR="004943A4" w:rsidRPr="002D4E19">
              <w:rPr>
                <w:sz w:val="18"/>
                <w:szCs w:val="18"/>
              </w:rPr>
              <w:t>[Tackling our deficits] means further reducing health care costs, including programs like Medicare and Medicaid, which are the single biggest contributor to our long-term deficit. Still, I’m willing to look at other ideas to bring down costs, including one that Republicans suggested last year: medical malpractice reform to rein in frivolous lawsuits.</w:t>
            </w:r>
            <w:r w:rsidRPr="002D4E19">
              <w:rPr>
                <w:sz w:val="18"/>
                <w:szCs w:val="18"/>
              </w:rPr>
              <w:t>”</w:t>
            </w:r>
          </w:p>
        </w:tc>
        <w:tc>
          <w:tcPr>
            <w:tcW w:w="2160" w:type="dxa"/>
            <w:vAlign w:val="bottom"/>
          </w:tcPr>
          <w:p w:rsidR="000C71FB" w:rsidRPr="002D4E19" w:rsidRDefault="000C71FB" w:rsidP="002D4E19">
            <w:pPr>
              <w:jc w:val="center"/>
              <w:rPr>
                <w:sz w:val="18"/>
                <w:szCs w:val="18"/>
              </w:rPr>
            </w:pPr>
            <w:r w:rsidRPr="002D4E19">
              <w:rPr>
                <w:color w:val="FF0000"/>
                <w:sz w:val="18"/>
                <w:szCs w:val="18"/>
              </w:rPr>
              <w:t>($2.06)</w:t>
            </w:r>
          </w:p>
          <w:p w:rsidR="004943A4" w:rsidRPr="002D4E19" w:rsidRDefault="004943A4" w:rsidP="002D4E19">
            <w:pPr>
              <w:jc w:val="center"/>
              <w:rPr>
                <w:sz w:val="18"/>
                <w:szCs w:val="18"/>
              </w:rPr>
            </w:pPr>
          </w:p>
        </w:tc>
        <w:tc>
          <w:tcPr>
            <w:tcW w:w="4500" w:type="dxa"/>
          </w:tcPr>
          <w:p w:rsidR="004943A4" w:rsidRPr="002D4E19" w:rsidRDefault="004943A4" w:rsidP="00A574AE">
            <w:pPr>
              <w:rPr>
                <w:sz w:val="18"/>
                <w:szCs w:val="18"/>
              </w:rPr>
            </w:pPr>
            <w:r w:rsidRPr="002D4E19">
              <w:rPr>
                <w:sz w:val="18"/>
                <w:szCs w:val="18"/>
              </w:rPr>
              <w:t>CBO Letter</w:t>
            </w:r>
            <w:r w:rsidR="00706CE4" w:rsidRPr="002D4E19">
              <w:rPr>
                <w:sz w:val="18"/>
                <w:szCs w:val="18"/>
              </w:rPr>
              <w:t xml:space="preserve"> to Senator Orrin Hatch (R-UT)</w:t>
            </w:r>
            <w:r w:rsidR="003F05E2">
              <w:rPr>
                <w:sz w:val="18"/>
                <w:szCs w:val="18"/>
              </w:rPr>
              <w:t>.</w:t>
            </w:r>
            <w:r w:rsidRPr="002D4E19">
              <w:rPr>
                <w:sz w:val="18"/>
                <w:szCs w:val="18"/>
              </w:rPr>
              <w:t xml:space="preserve"> http://www.cbo.gov/ftpdocs/106xx</w:t>
            </w:r>
            <w:r w:rsidR="003F05E2">
              <w:rPr>
                <w:sz w:val="18"/>
                <w:szCs w:val="18"/>
              </w:rPr>
              <w:t>/doc10641/10-09-Tort_Reform.pdf</w:t>
            </w:r>
          </w:p>
        </w:tc>
      </w:tr>
      <w:tr w:rsidR="004943A4" w:rsidRPr="004943A4" w:rsidTr="00DF2B06">
        <w:tc>
          <w:tcPr>
            <w:tcW w:w="816" w:type="dxa"/>
            <w:vAlign w:val="bottom"/>
          </w:tcPr>
          <w:p w:rsidR="004943A4" w:rsidRPr="002D4E19" w:rsidRDefault="004943A4" w:rsidP="002D4E19">
            <w:pPr>
              <w:jc w:val="right"/>
              <w:rPr>
                <w:sz w:val="20"/>
                <w:szCs w:val="20"/>
              </w:rPr>
            </w:pPr>
            <w:r w:rsidRPr="002D4E19">
              <w:rPr>
                <w:sz w:val="20"/>
                <w:szCs w:val="20"/>
              </w:rPr>
              <w:t>13</w:t>
            </w:r>
          </w:p>
        </w:tc>
        <w:tc>
          <w:tcPr>
            <w:tcW w:w="3600" w:type="dxa"/>
            <w:vAlign w:val="bottom"/>
          </w:tcPr>
          <w:p w:rsidR="004943A4" w:rsidRPr="002D4E19" w:rsidRDefault="000C71FB">
            <w:pPr>
              <w:rPr>
                <w:sz w:val="18"/>
                <w:szCs w:val="18"/>
              </w:rPr>
            </w:pPr>
            <w:r w:rsidRPr="002D4E19">
              <w:rPr>
                <w:sz w:val="18"/>
                <w:szCs w:val="18"/>
              </w:rPr>
              <w:t>“</w:t>
            </w:r>
            <w:r w:rsidR="004943A4" w:rsidRPr="002D4E19">
              <w:rPr>
                <w:sz w:val="18"/>
                <w:szCs w:val="18"/>
              </w:rPr>
              <w:t xml:space="preserve">In the coming months, my administration will develop a proposal to merge, consolidate, </w:t>
            </w:r>
            <w:r w:rsidR="004943A4" w:rsidRPr="002D4E19">
              <w:rPr>
                <w:sz w:val="18"/>
                <w:szCs w:val="18"/>
              </w:rPr>
              <w:lastRenderedPageBreak/>
              <w:t xml:space="preserve">and reorganize the federal government in a way that best serves the goal of a more competitive </w:t>
            </w:r>
            <w:smartTag w:uri="urn:schemas-microsoft-com:office:smarttags" w:element="place">
              <w:smartTag w:uri="urn:schemas-microsoft-com:office:smarttags" w:element="country-region">
                <w:r w:rsidR="004943A4" w:rsidRPr="002D4E19">
                  <w:rPr>
                    <w:sz w:val="18"/>
                    <w:szCs w:val="18"/>
                  </w:rPr>
                  <w:t>America</w:t>
                </w:r>
              </w:smartTag>
            </w:smartTag>
            <w:r w:rsidR="004943A4" w:rsidRPr="002D4E19">
              <w:rPr>
                <w:sz w:val="18"/>
                <w:szCs w:val="18"/>
              </w:rPr>
              <w:t>.</w:t>
            </w:r>
            <w:r w:rsidRPr="002D4E19">
              <w:rPr>
                <w:sz w:val="18"/>
                <w:szCs w:val="18"/>
              </w:rPr>
              <w:t>”</w:t>
            </w:r>
          </w:p>
        </w:tc>
        <w:tc>
          <w:tcPr>
            <w:tcW w:w="2160" w:type="dxa"/>
            <w:vAlign w:val="bottom"/>
          </w:tcPr>
          <w:p w:rsidR="004943A4" w:rsidRPr="002D4E19" w:rsidRDefault="004943A4" w:rsidP="002D4E19">
            <w:pPr>
              <w:jc w:val="center"/>
              <w:rPr>
                <w:sz w:val="18"/>
                <w:szCs w:val="18"/>
              </w:rPr>
            </w:pPr>
            <w:r w:rsidRPr="002D4E19">
              <w:rPr>
                <w:sz w:val="18"/>
                <w:szCs w:val="18"/>
              </w:rPr>
              <w:lastRenderedPageBreak/>
              <w:t>Unknown.</w:t>
            </w:r>
          </w:p>
        </w:tc>
        <w:tc>
          <w:tcPr>
            <w:tcW w:w="4500" w:type="dxa"/>
          </w:tcPr>
          <w:p w:rsidR="004943A4" w:rsidRPr="002D4E19" w:rsidRDefault="004943A4" w:rsidP="00A574AE">
            <w:pPr>
              <w:rPr>
                <w:sz w:val="18"/>
                <w:szCs w:val="18"/>
              </w:rPr>
            </w:pPr>
            <w:r w:rsidRPr="002D4E19">
              <w:rPr>
                <w:sz w:val="18"/>
                <w:szCs w:val="18"/>
              </w:rPr>
              <w:t xml:space="preserve">At least one of the goals of </w:t>
            </w:r>
            <w:r w:rsidR="00706CE4" w:rsidRPr="002D4E19">
              <w:rPr>
                <w:sz w:val="18"/>
                <w:szCs w:val="18"/>
              </w:rPr>
              <w:t xml:space="preserve">the </w:t>
            </w:r>
            <w:r w:rsidRPr="002D4E19">
              <w:rPr>
                <w:sz w:val="18"/>
                <w:szCs w:val="18"/>
              </w:rPr>
              <w:t>D</w:t>
            </w:r>
            <w:r w:rsidR="00706CE4" w:rsidRPr="002D4E19">
              <w:rPr>
                <w:sz w:val="18"/>
                <w:szCs w:val="18"/>
              </w:rPr>
              <w:t xml:space="preserve">epartment of </w:t>
            </w:r>
            <w:r w:rsidRPr="002D4E19">
              <w:rPr>
                <w:sz w:val="18"/>
                <w:szCs w:val="18"/>
              </w:rPr>
              <w:t>H</w:t>
            </w:r>
            <w:r w:rsidR="00706CE4" w:rsidRPr="002D4E19">
              <w:rPr>
                <w:sz w:val="18"/>
                <w:szCs w:val="18"/>
              </w:rPr>
              <w:t xml:space="preserve">omeland </w:t>
            </w:r>
            <w:r w:rsidRPr="002D4E19">
              <w:rPr>
                <w:sz w:val="18"/>
                <w:szCs w:val="18"/>
              </w:rPr>
              <w:t>S</w:t>
            </w:r>
            <w:r w:rsidR="00706CE4" w:rsidRPr="002D4E19">
              <w:rPr>
                <w:sz w:val="18"/>
                <w:szCs w:val="18"/>
              </w:rPr>
              <w:t>ecurity (DHS)</w:t>
            </w:r>
            <w:r w:rsidRPr="002D4E19">
              <w:rPr>
                <w:sz w:val="18"/>
                <w:szCs w:val="18"/>
              </w:rPr>
              <w:t xml:space="preserve"> was to consolidate and make more </w:t>
            </w:r>
            <w:r w:rsidRPr="002D4E19">
              <w:rPr>
                <w:sz w:val="18"/>
                <w:szCs w:val="18"/>
              </w:rPr>
              <w:lastRenderedPageBreak/>
              <w:t xml:space="preserve">efficient the homeland security apparatus. GAO has designated DHS as </w:t>
            </w:r>
            <w:r w:rsidR="00706CE4" w:rsidRPr="002D4E19">
              <w:rPr>
                <w:sz w:val="18"/>
                <w:szCs w:val="18"/>
              </w:rPr>
              <w:t>a “</w:t>
            </w:r>
            <w:r w:rsidRPr="002D4E19">
              <w:rPr>
                <w:sz w:val="18"/>
                <w:szCs w:val="18"/>
              </w:rPr>
              <w:t>high-risk</w:t>
            </w:r>
            <w:r w:rsidR="00706CE4" w:rsidRPr="002D4E19">
              <w:rPr>
                <w:sz w:val="18"/>
                <w:szCs w:val="18"/>
              </w:rPr>
              <w:t>” undertaking</w:t>
            </w:r>
            <w:r w:rsidR="003F05E2">
              <w:rPr>
                <w:sz w:val="18"/>
                <w:szCs w:val="18"/>
              </w:rPr>
              <w:t xml:space="preserve"> since 2003.</w:t>
            </w:r>
            <w:r w:rsidRPr="002D4E19">
              <w:rPr>
                <w:sz w:val="18"/>
                <w:szCs w:val="18"/>
              </w:rPr>
              <w:t xml:space="preserve"> http://ww</w:t>
            </w:r>
            <w:r w:rsidR="003F05E2">
              <w:rPr>
                <w:sz w:val="18"/>
                <w:szCs w:val="18"/>
              </w:rPr>
              <w:t>w.gao.gov/products/GAO-10-911T</w:t>
            </w:r>
          </w:p>
        </w:tc>
      </w:tr>
      <w:tr w:rsidR="004943A4" w:rsidRPr="004943A4" w:rsidTr="00DF2B06">
        <w:tc>
          <w:tcPr>
            <w:tcW w:w="816" w:type="dxa"/>
            <w:vAlign w:val="bottom"/>
          </w:tcPr>
          <w:p w:rsidR="004943A4" w:rsidRPr="002D4E19" w:rsidRDefault="004943A4" w:rsidP="002D4E19">
            <w:pPr>
              <w:jc w:val="right"/>
              <w:rPr>
                <w:sz w:val="20"/>
                <w:szCs w:val="20"/>
              </w:rPr>
            </w:pPr>
            <w:r w:rsidRPr="002D4E19">
              <w:rPr>
                <w:sz w:val="20"/>
                <w:szCs w:val="20"/>
              </w:rPr>
              <w:lastRenderedPageBreak/>
              <w:t>14</w:t>
            </w:r>
          </w:p>
        </w:tc>
        <w:tc>
          <w:tcPr>
            <w:tcW w:w="3600" w:type="dxa"/>
            <w:vAlign w:val="bottom"/>
          </w:tcPr>
          <w:p w:rsidR="004943A4" w:rsidRPr="002D4E19" w:rsidRDefault="000C71FB">
            <w:pPr>
              <w:rPr>
                <w:sz w:val="18"/>
                <w:szCs w:val="18"/>
              </w:rPr>
            </w:pPr>
            <w:r w:rsidRPr="002D4E19">
              <w:rPr>
                <w:sz w:val="18"/>
                <w:szCs w:val="18"/>
              </w:rPr>
              <w:t>“</w:t>
            </w:r>
            <w:r w:rsidR="004943A4" w:rsidRPr="002D4E19">
              <w:rPr>
                <w:sz w:val="18"/>
                <w:szCs w:val="18"/>
              </w:rPr>
              <w:t>Because you deserve to know exactly how and where your tax dollars are being spent, you will be able to go to a website and get that information for the very first time in history.</w:t>
            </w:r>
            <w:r w:rsidRPr="002D4E19">
              <w:rPr>
                <w:sz w:val="18"/>
                <w:szCs w:val="18"/>
              </w:rPr>
              <w:t>”</w:t>
            </w:r>
          </w:p>
        </w:tc>
        <w:tc>
          <w:tcPr>
            <w:tcW w:w="2160" w:type="dxa"/>
            <w:vAlign w:val="bottom"/>
          </w:tcPr>
          <w:p w:rsidR="004943A4" w:rsidRPr="002D4E19" w:rsidRDefault="004943A4" w:rsidP="002D4E19">
            <w:pPr>
              <w:jc w:val="center"/>
              <w:rPr>
                <w:sz w:val="18"/>
                <w:szCs w:val="18"/>
              </w:rPr>
            </w:pPr>
            <w:r w:rsidRPr="002D4E19">
              <w:rPr>
                <w:sz w:val="18"/>
                <w:szCs w:val="18"/>
              </w:rPr>
              <w:t>Unknown.</w:t>
            </w:r>
          </w:p>
        </w:tc>
        <w:tc>
          <w:tcPr>
            <w:tcW w:w="4500" w:type="dxa"/>
          </w:tcPr>
          <w:p w:rsidR="004943A4" w:rsidRPr="002D4E19" w:rsidRDefault="004943A4" w:rsidP="00A574AE">
            <w:pPr>
              <w:rPr>
                <w:sz w:val="18"/>
                <w:szCs w:val="18"/>
              </w:rPr>
            </w:pPr>
            <w:r w:rsidRPr="002D4E19">
              <w:rPr>
                <w:sz w:val="18"/>
                <w:szCs w:val="18"/>
              </w:rPr>
              <w:t>It is unclear whether the President is proposing a new website or the spending database established in the Federal Funding Accountability and Transparency Act of 2006.</w:t>
            </w:r>
          </w:p>
        </w:tc>
      </w:tr>
      <w:tr w:rsidR="004943A4" w:rsidRPr="004943A4" w:rsidTr="00DF2B06">
        <w:tc>
          <w:tcPr>
            <w:tcW w:w="816" w:type="dxa"/>
            <w:vAlign w:val="bottom"/>
          </w:tcPr>
          <w:p w:rsidR="004943A4" w:rsidRPr="002D4E19" w:rsidRDefault="004943A4" w:rsidP="002D4E19">
            <w:pPr>
              <w:jc w:val="right"/>
              <w:rPr>
                <w:sz w:val="20"/>
                <w:szCs w:val="20"/>
              </w:rPr>
            </w:pPr>
            <w:r w:rsidRPr="002D4E19">
              <w:rPr>
                <w:sz w:val="20"/>
                <w:szCs w:val="20"/>
              </w:rPr>
              <w:t>15</w:t>
            </w:r>
          </w:p>
        </w:tc>
        <w:tc>
          <w:tcPr>
            <w:tcW w:w="3600" w:type="dxa"/>
            <w:vAlign w:val="bottom"/>
          </w:tcPr>
          <w:p w:rsidR="004943A4" w:rsidRPr="002D4E19" w:rsidRDefault="000C71FB">
            <w:pPr>
              <w:rPr>
                <w:sz w:val="18"/>
                <w:szCs w:val="18"/>
              </w:rPr>
            </w:pPr>
            <w:r w:rsidRPr="002D4E19">
              <w:rPr>
                <w:sz w:val="18"/>
                <w:szCs w:val="18"/>
              </w:rPr>
              <w:t>“</w:t>
            </w:r>
            <w:r w:rsidR="004943A4" w:rsidRPr="002D4E19">
              <w:rPr>
                <w:sz w:val="18"/>
                <w:szCs w:val="18"/>
              </w:rPr>
              <w:t>Because you deserve to know when your elected officials are meeting with lobbyists, I ask Congress to do what the White House has already done: put that information online.</w:t>
            </w:r>
            <w:r w:rsidRPr="002D4E19">
              <w:rPr>
                <w:sz w:val="18"/>
                <w:szCs w:val="18"/>
              </w:rPr>
              <w:t>”</w:t>
            </w:r>
          </w:p>
        </w:tc>
        <w:tc>
          <w:tcPr>
            <w:tcW w:w="2160" w:type="dxa"/>
            <w:vAlign w:val="bottom"/>
          </w:tcPr>
          <w:p w:rsidR="004943A4" w:rsidRPr="002D4E19" w:rsidRDefault="004943A4" w:rsidP="002D4E19">
            <w:pPr>
              <w:jc w:val="center"/>
              <w:rPr>
                <w:sz w:val="18"/>
                <w:szCs w:val="18"/>
              </w:rPr>
            </w:pPr>
            <w:r w:rsidRPr="002D4E19">
              <w:rPr>
                <w:sz w:val="18"/>
                <w:szCs w:val="18"/>
              </w:rPr>
              <w:t>Unknown.</w:t>
            </w:r>
          </w:p>
        </w:tc>
        <w:tc>
          <w:tcPr>
            <w:tcW w:w="4500" w:type="dxa"/>
            <w:vAlign w:val="center"/>
          </w:tcPr>
          <w:p w:rsidR="004943A4" w:rsidRPr="002D4E19" w:rsidRDefault="004943A4">
            <w:pPr>
              <w:rPr>
                <w:sz w:val="18"/>
                <w:szCs w:val="18"/>
              </w:rPr>
            </w:pPr>
          </w:p>
        </w:tc>
      </w:tr>
    </w:tbl>
    <w:p w:rsidR="0048279E" w:rsidRDefault="0048279E"/>
    <w:p w:rsidR="00D56FC1" w:rsidRDefault="00D56FC1"/>
    <w:p w:rsidR="00D56FC1" w:rsidRDefault="00D56FC1"/>
    <w:p w:rsidR="00D56FC1" w:rsidRDefault="00D56FC1"/>
    <w:tbl>
      <w:tblPr>
        <w:tblW w:w="9315" w:type="dxa"/>
        <w:tblBorders>
          <w:top w:val="double" w:sz="4" w:space="0" w:color="auto"/>
          <w:left w:val="double" w:sz="4" w:space="0" w:color="auto"/>
          <w:bottom w:val="double" w:sz="4" w:space="0" w:color="auto"/>
          <w:right w:val="double" w:sz="4" w:space="0" w:color="auto"/>
        </w:tblBorders>
        <w:tblLayout w:type="fixed"/>
        <w:tblCellMar>
          <w:left w:w="30" w:type="dxa"/>
          <w:right w:w="30" w:type="dxa"/>
        </w:tblCellMar>
        <w:tblLook w:val="0000"/>
      </w:tblPr>
      <w:tblGrid>
        <w:gridCol w:w="3105"/>
        <w:gridCol w:w="2790"/>
        <w:gridCol w:w="3420"/>
      </w:tblGrid>
      <w:tr w:rsidR="00D56FC1" w:rsidTr="005D02DB">
        <w:tblPrEx>
          <w:tblCellMar>
            <w:top w:w="0" w:type="dxa"/>
            <w:bottom w:w="0" w:type="dxa"/>
          </w:tblCellMar>
        </w:tblPrEx>
        <w:trPr>
          <w:trHeight w:val="998"/>
        </w:trPr>
        <w:tc>
          <w:tcPr>
            <w:tcW w:w="3105" w:type="dxa"/>
            <w:tcBorders>
              <w:top w:val="double" w:sz="4" w:space="0" w:color="auto"/>
              <w:bottom w:val="single" w:sz="6" w:space="0" w:color="auto"/>
              <w:right w:val="single" w:sz="6" w:space="0" w:color="auto"/>
            </w:tcBorders>
          </w:tcPr>
          <w:p w:rsidR="00D56FC1" w:rsidRDefault="00D56FC1" w:rsidP="00D56FC1">
            <w:pPr>
              <w:ind w:left="1050"/>
              <w:jc w:val="right"/>
              <w:rPr>
                <w:b/>
                <w:snapToGrid w:val="0"/>
                <w:color w:val="000000"/>
              </w:rPr>
            </w:pPr>
          </w:p>
        </w:tc>
        <w:tc>
          <w:tcPr>
            <w:tcW w:w="2790" w:type="dxa"/>
            <w:tcBorders>
              <w:top w:val="double" w:sz="4" w:space="0" w:color="auto"/>
              <w:left w:val="single" w:sz="6" w:space="0" w:color="auto"/>
              <w:bottom w:val="single" w:sz="6" w:space="0" w:color="auto"/>
              <w:right w:val="single" w:sz="6" w:space="0" w:color="auto"/>
            </w:tcBorders>
          </w:tcPr>
          <w:p w:rsidR="00D56FC1" w:rsidRDefault="00D56FC1" w:rsidP="00D56FC1">
            <w:pPr>
              <w:jc w:val="center"/>
              <w:rPr>
                <w:b/>
                <w:snapToGrid w:val="0"/>
                <w:color w:val="000000"/>
              </w:rPr>
            </w:pPr>
            <w:r>
              <w:rPr>
                <w:b/>
                <w:snapToGrid w:val="0"/>
                <w:color w:val="000000"/>
              </w:rPr>
              <w:t>Non-Defense Discretionary Spending</w:t>
            </w:r>
          </w:p>
          <w:p w:rsidR="00D56FC1" w:rsidRDefault="00D56FC1" w:rsidP="00D56FC1">
            <w:pPr>
              <w:jc w:val="center"/>
              <w:rPr>
                <w:b/>
                <w:snapToGrid w:val="0"/>
                <w:color w:val="000000"/>
              </w:rPr>
            </w:pPr>
            <w:r>
              <w:rPr>
                <w:b/>
                <w:snapToGrid w:val="0"/>
                <w:color w:val="000000"/>
              </w:rPr>
              <w:t>(in billions)</w:t>
            </w:r>
          </w:p>
        </w:tc>
        <w:tc>
          <w:tcPr>
            <w:tcW w:w="3420" w:type="dxa"/>
            <w:tcBorders>
              <w:top w:val="double" w:sz="4" w:space="0" w:color="auto"/>
              <w:left w:val="single" w:sz="6" w:space="0" w:color="auto"/>
              <w:bottom w:val="single" w:sz="6" w:space="0" w:color="auto"/>
            </w:tcBorders>
          </w:tcPr>
          <w:p w:rsidR="00D56FC1" w:rsidRDefault="00D56FC1" w:rsidP="00D56FC1">
            <w:pPr>
              <w:jc w:val="center"/>
              <w:rPr>
                <w:b/>
                <w:snapToGrid w:val="0"/>
                <w:color w:val="000000"/>
              </w:rPr>
            </w:pPr>
            <w:r>
              <w:rPr>
                <w:b/>
                <w:snapToGrid w:val="0"/>
                <w:color w:val="000000"/>
              </w:rPr>
              <w:t xml:space="preserve">Defense/Homeland Security Spending  </w:t>
            </w:r>
          </w:p>
          <w:p w:rsidR="00D56FC1" w:rsidRDefault="00D56FC1" w:rsidP="00D56FC1">
            <w:pPr>
              <w:jc w:val="center"/>
              <w:rPr>
                <w:b/>
                <w:snapToGrid w:val="0"/>
                <w:color w:val="000000"/>
              </w:rPr>
            </w:pPr>
            <w:r>
              <w:rPr>
                <w:b/>
                <w:snapToGrid w:val="0"/>
                <w:color w:val="000000"/>
              </w:rPr>
              <w:t>(in billions)</w:t>
            </w:r>
          </w:p>
        </w:tc>
      </w:tr>
      <w:tr w:rsidR="00D56FC1" w:rsidTr="005D02DB">
        <w:tblPrEx>
          <w:tblCellMar>
            <w:top w:w="0" w:type="dxa"/>
            <w:bottom w:w="0" w:type="dxa"/>
          </w:tblCellMar>
        </w:tblPrEx>
        <w:trPr>
          <w:trHeight w:val="250"/>
        </w:trPr>
        <w:tc>
          <w:tcPr>
            <w:tcW w:w="3105" w:type="dxa"/>
            <w:tcBorders>
              <w:top w:val="single" w:sz="6" w:space="0" w:color="auto"/>
              <w:bottom w:val="single" w:sz="6" w:space="0" w:color="auto"/>
              <w:right w:val="single" w:sz="6" w:space="0" w:color="auto"/>
            </w:tcBorders>
          </w:tcPr>
          <w:p w:rsidR="00D56FC1" w:rsidRDefault="00D56FC1" w:rsidP="00D56FC1">
            <w:pPr>
              <w:rPr>
                <w:snapToGrid w:val="0"/>
                <w:color w:val="000000"/>
              </w:rPr>
            </w:pPr>
            <w:r>
              <w:rPr>
                <w:snapToGrid w:val="0"/>
                <w:color w:val="000000"/>
              </w:rPr>
              <w:t xml:space="preserve">President Clinton’s 1999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D56FC1" w:rsidRDefault="00D56FC1" w:rsidP="00D56FC1">
            <w:pPr>
              <w:jc w:val="center"/>
              <w:rPr>
                <w:snapToGrid w:val="0"/>
                <w:color w:val="000000"/>
              </w:rPr>
            </w:pPr>
            <w:r>
              <w:rPr>
                <w:snapToGrid w:val="0"/>
                <w:color w:val="000000"/>
              </w:rPr>
              <w:t>$305</w:t>
            </w:r>
          </w:p>
        </w:tc>
        <w:tc>
          <w:tcPr>
            <w:tcW w:w="3420" w:type="dxa"/>
            <w:tcBorders>
              <w:top w:val="single" w:sz="6" w:space="0" w:color="auto"/>
              <w:left w:val="single" w:sz="6" w:space="0" w:color="auto"/>
              <w:bottom w:val="single" w:sz="6" w:space="0" w:color="auto"/>
            </w:tcBorders>
          </w:tcPr>
          <w:p w:rsidR="00D56FC1" w:rsidRDefault="00D56FC1" w:rsidP="00D56FC1">
            <w:pPr>
              <w:jc w:val="center"/>
              <w:rPr>
                <w:snapToGrid w:val="0"/>
                <w:color w:val="000000"/>
              </w:rPr>
            </w:pPr>
            <w:r>
              <w:rPr>
                <w:snapToGrid w:val="0"/>
                <w:color w:val="000000"/>
              </w:rPr>
              <w:t xml:space="preserve">$22 </w:t>
            </w:r>
          </w:p>
        </w:tc>
      </w:tr>
      <w:tr w:rsidR="00D56FC1" w:rsidTr="005D02DB">
        <w:tblPrEx>
          <w:tblCellMar>
            <w:top w:w="0" w:type="dxa"/>
            <w:bottom w:w="0" w:type="dxa"/>
          </w:tblCellMar>
        </w:tblPrEx>
        <w:trPr>
          <w:trHeight w:val="250"/>
        </w:trPr>
        <w:tc>
          <w:tcPr>
            <w:tcW w:w="3105" w:type="dxa"/>
            <w:tcBorders>
              <w:top w:val="single" w:sz="6" w:space="0" w:color="auto"/>
              <w:bottom w:val="single" w:sz="6" w:space="0" w:color="auto"/>
              <w:right w:val="single" w:sz="6" w:space="0" w:color="auto"/>
            </w:tcBorders>
          </w:tcPr>
          <w:p w:rsidR="00D56FC1" w:rsidRDefault="00D56FC1" w:rsidP="00D56FC1">
            <w:pPr>
              <w:rPr>
                <w:snapToGrid w:val="0"/>
                <w:color w:val="000000"/>
              </w:rPr>
            </w:pPr>
            <w:r>
              <w:rPr>
                <w:snapToGrid w:val="0"/>
                <w:color w:val="000000"/>
              </w:rPr>
              <w:t xml:space="preserve">President Clinton’s 2000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D56FC1" w:rsidRDefault="00D56FC1" w:rsidP="00D56FC1">
            <w:pPr>
              <w:jc w:val="center"/>
              <w:rPr>
                <w:snapToGrid w:val="0"/>
                <w:color w:val="000000"/>
              </w:rPr>
            </w:pPr>
            <w:r>
              <w:rPr>
                <w:snapToGrid w:val="0"/>
                <w:color w:val="000000"/>
              </w:rPr>
              <w:t>$119</w:t>
            </w:r>
          </w:p>
        </w:tc>
        <w:tc>
          <w:tcPr>
            <w:tcW w:w="3420" w:type="dxa"/>
            <w:tcBorders>
              <w:top w:val="single" w:sz="6" w:space="0" w:color="auto"/>
              <w:left w:val="single" w:sz="6" w:space="0" w:color="auto"/>
              <w:bottom w:val="single" w:sz="6" w:space="0" w:color="auto"/>
            </w:tcBorders>
          </w:tcPr>
          <w:p w:rsidR="00D56FC1" w:rsidRDefault="00D56FC1" w:rsidP="00D56FC1">
            <w:pPr>
              <w:jc w:val="center"/>
              <w:rPr>
                <w:snapToGrid w:val="0"/>
                <w:color w:val="000000"/>
              </w:rPr>
            </w:pPr>
            <w:r>
              <w:rPr>
                <w:snapToGrid w:val="0"/>
                <w:color w:val="000000"/>
              </w:rPr>
              <w:t xml:space="preserve">$21 </w:t>
            </w:r>
          </w:p>
        </w:tc>
      </w:tr>
      <w:tr w:rsidR="00D56FC1" w:rsidTr="005D02DB">
        <w:tblPrEx>
          <w:tblCellMar>
            <w:top w:w="0" w:type="dxa"/>
            <w:bottom w:w="0" w:type="dxa"/>
          </w:tblCellMar>
        </w:tblPrEx>
        <w:trPr>
          <w:trHeight w:val="250"/>
        </w:trPr>
        <w:tc>
          <w:tcPr>
            <w:tcW w:w="3105" w:type="dxa"/>
            <w:tcBorders>
              <w:top w:val="single" w:sz="6" w:space="0" w:color="auto"/>
              <w:bottom w:val="single" w:sz="6" w:space="0" w:color="auto"/>
              <w:right w:val="single" w:sz="6" w:space="0" w:color="auto"/>
            </w:tcBorders>
          </w:tcPr>
          <w:p w:rsidR="00D56FC1" w:rsidRDefault="00D56FC1" w:rsidP="00D56FC1">
            <w:pPr>
              <w:rPr>
                <w:snapToGrid w:val="0"/>
                <w:color w:val="000000"/>
              </w:rPr>
            </w:pPr>
            <w:r>
              <w:rPr>
                <w:snapToGrid w:val="0"/>
                <w:color w:val="000000"/>
              </w:rPr>
              <w:t xml:space="preserve">President Bush’s 2002 </w:t>
            </w:r>
            <w:proofErr w:type="spellStart"/>
            <w:r>
              <w:rPr>
                <w:snapToGrid w:val="0"/>
                <w:color w:val="000000"/>
              </w:rPr>
              <w:t>SotU</w:t>
            </w:r>
            <w:proofErr w:type="spellEnd"/>
            <w:r>
              <w:rPr>
                <w:snapToGrid w:val="0"/>
                <w:color w:val="000000"/>
              </w:rPr>
              <w:t>*</w:t>
            </w:r>
          </w:p>
        </w:tc>
        <w:tc>
          <w:tcPr>
            <w:tcW w:w="2790" w:type="dxa"/>
            <w:tcBorders>
              <w:top w:val="single" w:sz="6" w:space="0" w:color="auto"/>
              <w:left w:val="single" w:sz="6" w:space="0" w:color="auto"/>
              <w:bottom w:val="single" w:sz="6" w:space="0" w:color="auto"/>
              <w:right w:val="single" w:sz="6" w:space="0" w:color="auto"/>
            </w:tcBorders>
          </w:tcPr>
          <w:p w:rsidR="00D56FC1" w:rsidRDefault="00D56FC1" w:rsidP="00D56FC1">
            <w:pPr>
              <w:jc w:val="center"/>
              <w:rPr>
                <w:snapToGrid w:val="0"/>
                <w:color w:val="000000"/>
              </w:rPr>
            </w:pPr>
            <w:r>
              <w:rPr>
                <w:snapToGrid w:val="0"/>
                <w:color w:val="000000"/>
              </w:rPr>
              <w:t>$55</w:t>
            </w:r>
          </w:p>
        </w:tc>
        <w:tc>
          <w:tcPr>
            <w:tcW w:w="3420" w:type="dxa"/>
            <w:tcBorders>
              <w:top w:val="single" w:sz="6" w:space="0" w:color="auto"/>
              <w:left w:val="single" w:sz="6" w:space="0" w:color="auto"/>
              <w:bottom w:val="single" w:sz="6" w:space="0" w:color="auto"/>
            </w:tcBorders>
          </w:tcPr>
          <w:p w:rsidR="00D56FC1" w:rsidRDefault="00D56FC1" w:rsidP="00D56FC1">
            <w:pPr>
              <w:jc w:val="center"/>
              <w:rPr>
                <w:snapToGrid w:val="0"/>
                <w:color w:val="000000"/>
              </w:rPr>
            </w:pPr>
            <w:r>
              <w:rPr>
                <w:snapToGrid w:val="0"/>
                <w:color w:val="000000"/>
              </w:rPr>
              <w:t xml:space="preserve">$51 </w:t>
            </w:r>
          </w:p>
        </w:tc>
      </w:tr>
      <w:tr w:rsidR="00D56FC1" w:rsidTr="005D02DB">
        <w:tblPrEx>
          <w:tblCellMar>
            <w:top w:w="0" w:type="dxa"/>
            <w:bottom w:w="0" w:type="dxa"/>
          </w:tblCellMar>
        </w:tblPrEx>
        <w:trPr>
          <w:trHeight w:val="250"/>
        </w:trPr>
        <w:tc>
          <w:tcPr>
            <w:tcW w:w="3105" w:type="dxa"/>
            <w:tcBorders>
              <w:top w:val="single" w:sz="6" w:space="0" w:color="auto"/>
              <w:bottom w:val="single" w:sz="6" w:space="0" w:color="auto"/>
              <w:right w:val="single" w:sz="6" w:space="0" w:color="auto"/>
            </w:tcBorders>
          </w:tcPr>
          <w:p w:rsidR="00D56FC1" w:rsidRDefault="00D56FC1" w:rsidP="00D56FC1">
            <w:pPr>
              <w:rPr>
                <w:snapToGrid w:val="0"/>
                <w:color w:val="000000"/>
              </w:rPr>
            </w:pPr>
            <w:r>
              <w:rPr>
                <w:snapToGrid w:val="0"/>
                <w:color w:val="000000"/>
              </w:rPr>
              <w:t xml:space="preserve">President Bush’s 2003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D56FC1" w:rsidRDefault="00D56FC1" w:rsidP="00D56FC1">
            <w:pPr>
              <w:jc w:val="center"/>
              <w:rPr>
                <w:snapToGrid w:val="0"/>
                <w:color w:val="000000"/>
              </w:rPr>
            </w:pPr>
            <w:r>
              <w:rPr>
                <w:snapToGrid w:val="0"/>
                <w:color w:val="000000"/>
              </w:rPr>
              <w:t>$46</w:t>
            </w:r>
          </w:p>
        </w:tc>
        <w:tc>
          <w:tcPr>
            <w:tcW w:w="3420" w:type="dxa"/>
            <w:tcBorders>
              <w:top w:val="single" w:sz="6" w:space="0" w:color="auto"/>
              <w:left w:val="single" w:sz="6" w:space="0" w:color="auto"/>
              <w:bottom w:val="single" w:sz="6" w:space="0" w:color="auto"/>
            </w:tcBorders>
          </w:tcPr>
          <w:p w:rsidR="00D56FC1" w:rsidRDefault="00D56FC1" w:rsidP="00D56FC1">
            <w:pPr>
              <w:jc w:val="center"/>
              <w:rPr>
                <w:snapToGrid w:val="0"/>
                <w:color w:val="000000"/>
              </w:rPr>
            </w:pPr>
            <w:r>
              <w:rPr>
                <w:snapToGrid w:val="0"/>
                <w:color w:val="000000"/>
              </w:rPr>
              <w:t xml:space="preserve">$6 </w:t>
            </w:r>
          </w:p>
        </w:tc>
      </w:tr>
      <w:tr w:rsidR="00D56FC1" w:rsidTr="005D02DB">
        <w:tblPrEx>
          <w:tblCellMar>
            <w:top w:w="0" w:type="dxa"/>
            <w:bottom w:w="0" w:type="dxa"/>
          </w:tblCellMar>
        </w:tblPrEx>
        <w:trPr>
          <w:trHeight w:val="250"/>
        </w:trPr>
        <w:tc>
          <w:tcPr>
            <w:tcW w:w="3105" w:type="dxa"/>
            <w:tcBorders>
              <w:top w:val="single" w:sz="6" w:space="0" w:color="auto"/>
              <w:bottom w:val="single" w:sz="6" w:space="0" w:color="auto"/>
              <w:right w:val="single" w:sz="6" w:space="0" w:color="auto"/>
            </w:tcBorders>
          </w:tcPr>
          <w:p w:rsidR="00D56FC1" w:rsidRDefault="00D56FC1" w:rsidP="00D56FC1">
            <w:pPr>
              <w:rPr>
                <w:snapToGrid w:val="0"/>
                <w:color w:val="000000"/>
              </w:rPr>
            </w:pPr>
            <w:r>
              <w:rPr>
                <w:snapToGrid w:val="0"/>
                <w:color w:val="000000"/>
              </w:rPr>
              <w:t xml:space="preserve">President Bush’s 2004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D56FC1" w:rsidRDefault="00D56FC1" w:rsidP="00D56FC1">
            <w:pPr>
              <w:jc w:val="center"/>
              <w:rPr>
                <w:snapToGrid w:val="0"/>
                <w:color w:val="000000"/>
              </w:rPr>
            </w:pPr>
            <w:r>
              <w:rPr>
                <w:snapToGrid w:val="0"/>
                <w:color w:val="000000"/>
              </w:rPr>
              <w:t>$13.6</w:t>
            </w:r>
          </w:p>
        </w:tc>
        <w:tc>
          <w:tcPr>
            <w:tcW w:w="3420" w:type="dxa"/>
            <w:tcBorders>
              <w:top w:val="single" w:sz="6" w:space="0" w:color="auto"/>
              <w:left w:val="single" w:sz="6" w:space="0" w:color="auto"/>
              <w:bottom w:val="single" w:sz="6" w:space="0" w:color="auto"/>
            </w:tcBorders>
          </w:tcPr>
          <w:p w:rsidR="00D56FC1" w:rsidRDefault="00D56FC1" w:rsidP="00D56FC1">
            <w:pPr>
              <w:jc w:val="center"/>
              <w:rPr>
                <w:snapToGrid w:val="0"/>
                <w:color w:val="000000"/>
              </w:rPr>
            </w:pPr>
            <w:r>
              <w:rPr>
                <w:snapToGrid w:val="0"/>
                <w:color w:val="000000"/>
              </w:rPr>
              <w:t>N/A</w:t>
            </w:r>
          </w:p>
        </w:tc>
      </w:tr>
      <w:tr w:rsidR="00D56FC1" w:rsidTr="005D02DB">
        <w:tblPrEx>
          <w:tblCellMar>
            <w:top w:w="0" w:type="dxa"/>
            <w:bottom w:w="0" w:type="dxa"/>
          </w:tblCellMar>
        </w:tblPrEx>
        <w:trPr>
          <w:trHeight w:val="250"/>
        </w:trPr>
        <w:tc>
          <w:tcPr>
            <w:tcW w:w="3105" w:type="dxa"/>
            <w:tcBorders>
              <w:top w:val="single" w:sz="6" w:space="0" w:color="auto"/>
              <w:bottom w:val="nil"/>
              <w:right w:val="single" w:sz="6" w:space="0" w:color="auto"/>
            </w:tcBorders>
          </w:tcPr>
          <w:p w:rsidR="00D56FC1" w:rsidRDefault="00D56FC1" w:rsidP="00D56FC1">
            <w:pPr>
              <w:rPr>
                <w:snapToGrid w:val="0"/>
                <w:color w:val="000000"/>
              </w:rPr>
            </w:pPr>
            <w:r>
              <w:rPr>
                <w:snapToGrid w:val="0"/>
                <w:color w:val="000000"/>
              </w:rPr>
              <w:t xml:space="preserve">President Bush’s 2005 </w:t>
            </w:r>
            <w:proofErr w:type="spellStart"/>
            <w:r>
              <w:rPr>
                <w:snapToGrid w:val="0"/>
                <w:color w:val="000000"/>
              </w:rPr>
              <w:t>SotU</w:t>
            </w:r>
            <w:proofErr w:type="spellEnd"/>
          </w:p>
        </w:tc>
        <w:tc>
          <w:tcPr>
            <w:tcW w:w="2790" w:type="dxa"/>
            <w:tcBorders>
              <w:top w:val="single" w:sz="6" w:space="0" w:color="auto"/>
              <w:left w:val="single" w:sz="6" w:space="0" w:color="auto"/>
              <w:bottom w:val="nil"/>
              <w:right w:val="single" w:sz="6" w:space="0" w:color="auto"/>
            </w:tcBorders>
          </w:tcPr>
          <w:p w:rsidR="00D56FC1" w:rsidRDefault="00D56FC1" w:rsidP="00D56FC1">
            <w:pPr>
              <w:jc w:val="center"/>
              <w:rPr>
                <w:snapToGrid w:val="0"/>
                <w:color w:val="000000"/>
              </w:rPr>
            </w:pPr>
            <w:r>
              <w:rPr>
                <w:snapToGrid w:val="0"/>
                <w:color w:val="000000"/>
              </w:rPr>
              <w:t>$12.8</w:t>
            </w:r>
          </w:p>
        </w:tc>
        <w:tc>
          <w:tcPr>
            <w:tcW w:w="3420" w:type="dxa"/>
            <w:tcBorders>
              <w:top w:val="single" w:sz="6" w:space="0" w:color="auto"/>
              <w:left w:val="single" w:sz="6" w:space="0" w:color="auto"/>
              <w:bottom w:val="nil"/>
            </w:tcBorders>
          </w:tcPr>
          <w:p w:rsidR="00D56FC1" w:rsidRDefault="00D56FC1" w:rsidP="00D56FC1">
            <w:pPr>
              <w:jc w:val="center"/>
              <w:rPr>
                <w:snapToGrid w:val="0"/>
                <w:color w:val="000000"/>
              </w:rPr>
            </w:pPr>
            <w:r>
              <w:rPr>
                <w:snapToGrid w:val="0"/>
                <w:color w:val="000000"/>
              </w:rPr>
              <w:t>N/A</w:t>
            </w:r>
          </w:p>
        </w:tc>
      </w:tr>
      <w:tr w:rsidR="00D56FC1" w:rsidTr="005D02DB">
        <w:tblPrEx>
          <w:tblCellMar>
            <w:top w:w="0" w:type="dxa"/>
            <w:bottom w:w="0" w:type="dxa"/>
          </w:tblCellMar>
        </w:tblPrEx>
        <w:trPr>
          <w:trHeight w:val="250"/>
        </w:trPr>
        <w:tc>
          <w:tcPr>
            <w:tcW w:w="3105" w:type="dxa"/>
            <w:tcBorders>
              <w:top w:val="single" w:sz="6" w:space="0" w:color="auto"/>
              <w:bottom w:val="single" w:sz="6" w:space="0" w:color="auto"/>
              <w:right w:val="single" w:sz="6" w:space="0" w:color="auto"/>
            </w:tcBorders>
          </w:tcPr>
          <w:p w:rsidR="00D56FC1" w:rsidRDefault="00D56FC1" w:rsidP="00D56FC1">
            <w:pPr>
              <w:rPr>
                <w:snapToGrid w:val="0"/>
                <w:color w:val="000000"/>
              </w:rPr>
            </w:pPr>
            <w:r>
              <w:rPr>
                <w:snapToGrid w:val="0"/>
                <w:color w:val="000000"/>
              </w:rPr>
              <w:t xml:space="preserve">President Bush’s 2006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D56FC1" w:rsidRDefault="00D56FC1" w:rsidP="00D56FC1">
            <w:pPr>
              <w:jc w:val="center"/>
              <w:rPr>
                <w:snapToGrid w:val="0"/>
                <w:color w:val="000000"/>
              </w:rPr>
            </w:pPr>
            <w:r>
              <w:rPr>
                <w:snapToGrid w:val="0"/>
                <w:color w:val="000000"/>
              </w:rPr>
              <w:t>$.091</w:t>
            </w:r>
          </w:p>
        </w:tc>
        <w:tc>
          <w:tcPr>
            <w:tcW w:w="3420" w:type="dxa"/>
            <w:tcBorders>
              <w:top w:val="single" w:sz="6" w:space="0" w:color="auto"/>
              <w:left w:val="single" w:sz="6" w:space="0" w:color="auto"/>
              <w:bottom w:val="single" w:sz="6" w:space="0" w:color="auto"/>
            </w:tcBorders>
          </w:tcPr>
          <w:p w:rsidR="00D56FC1" w:rsidRDefault="00D56FC1" w:rsidP="00D56FC1">
            <w:pPr>
              <w:jc w:val="center"/>
              <w:rPr>
                <w:snapToGrid w:val="0"/>
                <w:color w:val="000000"/>
              </w:rPr>
            </w:pPr>
            <w:r>
              <w:rPr>
                <w:snapToGrid w:val="0"/>
                <w:color w:val="000000"/>
              </w:rPr>
              <w:t>N/A</w:t>
            </w:r>
          </w:p>
        </w:tc>
      </w:tr>
      <w:tr w:rsidR="00D56FC1" w:rsidTr="005D02DB">
        <w:tblPrEx>
          <w:tblCellMar>
            <w:top w:w="0" w:type="dxa"/>
            <w:bottom w:w="0" w:type="dxa"/>
          </w:tblCellMar>
        </w:tblPrEx>
        <w:trPr>
          <w:trHeight w:val="250"/>
        </w:trPr>
        <w:tc>
          <w:tcPr>
            <w:tcW w:w="3105" w:type="dxa"/>
            <w:tcBorders>
              <w:top w:val="single" w:sz="6" w:space="0" w:color="auto"/>
              <w:bottom w:val="single" w:sz="6" w:space="0" w:color="auto"/>
              <w:right w:val="single" w:sz="6" w:space="0" w:color="auto"/>
            </w:tcBorders>
          </w:tcPr>
          <w:p w:rsidR="00D56FC1" w:rsidRDefault="00D56FC1" w:rsidP="00D56FC1">
            <w:pPr>
              <w:rPr>
                <w:snapToGrid w:val="0"/>
                <w:color w:val="000000"/>
              </w:rPr>
            </w:pPr>
            <w:r>
              <w:rPr>
                <w:snapToGrid w:val="0"/>
                <w:color w:val="000000"/>
              </w:rPr>
              <w:t xml:space="preserve">President Bush’s 2007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D56FC1" w:rsidRDefault="00D56FC1" w:rsidP="00D56FC1">
            <w:pPr>
              <w:jc w:val="center"/>
              <w:rPr>
                <w:snapToGrid w:val="0"/>
              </w:rPr>
            </w:pPr>
            <w:r>
              <w:rPr>
                <w:snapToGrid w:val="0"/>
              </w:rPr>
              <w:t>$3.48</w:t>
            </w:r>
          </w:p>
        </w:tc>
        <w:tc>
          <w:tcPr>
            <w:tcW w:w="3420" w:type="dxa"/>
            <w:tcBorders>
              <w:top w:val="single" w:sz="6" w:space="0" w:color="auto"/>
              <w:left w:val="single" w:sz="6" w:space="0" w:color="auto"/>
              <w:bottom w:val="single" w:sz="6" w:space="0" w:color="auto"/>
            </w:tcBorders>
          </w:tcPr>
          <w:p w:rsidR="00D56FC1" w:rsidRDefault="00D56FC1" w:rsidP="00D56FC1">
            <w:pPr>
              <w:jc w:val="center"/>
              <w:rPr>
                <w:snapToGrid w:val="0"/>
              </w:rPr>
            </w:pPr>
            <w:r>
              <w:rPr>
                <w:snapToGrid w:val="0"/>
              </w:rPr>
              <w:t>$8.9</w:t>
            </w:r>
          </w:p>
        </w:tc>
      </w:tr>
      <w:tr w:rsidR="00D56FC1" w:rsidTr="005D02DB">
        <w:tblPrEx>
          <w:tblCellMar>
            <w:top w:w="0" w:type="dxa"/>
            <w:bottom w:w="0" w:type="dxa"/>
          </w:tblCellMar>
        </w:tblPrEx>
        <w:trPr>
          <w:trHeight w:val="250"/>
        </w:trPr>
        <w:tc>
          <w:tcPr>
            <w:tcW w:w="3105" w:type="dxa"/>
            <w:tcBorders>
              <w:top w:val="single" w:sz="6" w:space="0" w:color="auto"/>
              <w:bottom w:val="single" w:sz="6" w:space="0" w:color="auto"/>
              <w:right w:val="single" w:sz="6" w:space="0" w:color="auto"/>
            </w:tcBorders>
          </w:tcPr>
          <w:p w:rsidR="00D56FC1" w:rsidRDefault="00D56FC1" w:rsidP="00D56FC1">
            <w:pPr>
              <w:rPr>
                <w:snapToGrid w:val="0"/>
                <w:color w:val="000000"/>
              </w:rPr>
            </w:pPr>
            <w:r>
              <w:rPr>
                <w:snapToGrid w:val="0"/>
                <w:color w:val="000000"/>
              </w:rPr>
              <w:t xml:space="preserve">President Bush’s 2008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D56FC1" w:rsidRDefault="00D56FC1" w:rsidP="00D56FC1">
            <w:pPr>
              <w:jc w:val="center"/>
            </w:pPr>
            <w:r>
              <w:t xml:space="preserve">$24.75 </w:t>
            </w:r>
          </w:p>
        </w:tc>
        <w:tc>
          <w:tcPr>
            <w:tcW w:w="3420" w:type="dxa"/>
            <w:tcBorders>
              <w:top w:val="single" w:sz="6" w:space="0" w:color="auto"/>
              <w:left w:val="single" w:sz="6" w:space="0" w:color="auto"/>
              <w:bottom w:val="single" w:sz="6" w:space="0" w:color="auto"/>
            </w:tcBorders>
          </w:tcPr>
          <w:p w:rsidR="00D56FC1" w:rsidRDefault="00D56FC1" w:rsidP="00D56FC1">
            <w:pPr>
              <w:jc w:val="center"/>
            </w:pPr>
            <w:r>
              <w:t xml:space="preserve">$109.89 </w:t>
            </w:r>
          </w:p>
        </w:tc>
      </w:tr>
      <w:tr w:rsidR="00D56FC1" w:rsidTr="005D02DB">
        <w:tblPrEx>
          <w:tblCellMar>
            <w:top w:w="0" w:type="dxa"/>
            <w:bottom w:w="0" w:type="dxa"/>
          </w:tblCellMar>
        </w:tblPrEx>
        <w:trPr>
          <w:trHeight w:val="250"/>
        </w:trPr>
        <w:tc>
          <w:tcPr>
            <w:tcW w:w="3105" w:type="dxa"/>
            <w:tcBorders>
              <w:top w:val="single" w:sz="6" w:space="0" w:color="auto"/>
              <w:bottom w:val="single" w:sz="6" w:space="0" w:color="auto"/>
              <w:right w:val="single" w:sz="6" w:space="0" w:color="auto"/>
            </w:tcBorders>
          </w:tcPr>
          <w:p w:rsidR="00D56FC1" w:rsidRDefault="00D56FC1" w:rsidP="00D56FC1">
            <w:pPr>
              <w:rPr>
                <w:snapToGrid w:val="0"/>
                <w:color w:val="000000"/>
              </w:rPr>
            </w:pPr>
            <w:r>
              <w:rPr>
                <w:snapToGrid w:val="0"/>
                <w:color w:val="000000"/>
              </w:rPr>
              <w:t xml:space="preserve">President Obama’s 2010 </w:t>
            </w:r>
            <w:proofErr w:type="spellStart"/>
            <w:r>
              <w:rPr>
                <w:snapToGrid w:val="0"/>
                <w:color w:val="000000"/>
              </w:rPr>
              <w:t>SotU</w:t>
            </w:r>
            <w:proofErr w:type="spellEnd"/>
            <w:r w:rsidR="004C51C9">
              <w:rPr>
                <w:snapToGrid w:val="0"/>
                <w:color w:val="000000"/>
              </w:rPr>
              <w:t>*</w:t>
            </w:r>
          </w:p>
        </w:tc>
        <w:tc>
          <w:tcPr>
            <w:tcW w:w="2790" w:type="dxa"/>
            <w:tcBorders>
              <w:top w:val="single" w:sz="6" w:space="0" w:color="auto"/>
              <w:left w:val="single" w:sz="6" w:space="0" w:color="auto"/>
              <w:bottom w:val="single" w:sz="6" w:space="0" w:color="auto"/>
              <w:right w:val="single" w:sz="6" w:space="0" w:color="auto"/>
            </w:tcBorders>
          </w:tcPr>
          <w:p w:rsidR="00D56FC1" w:rsidRPr="006771A0" w:rsidRDefault="00D56FC1" w:rsidP="00D56FC1">
            <w:pPr>
              <w:jc w:val="center"/>
            </w:pPr>
            <w:r w:rsidRPr="006771A0">
              <w:t>$10.2</w:t>
            </w:r>
          </w:p>
        </w:tc>
        <w:tc>
          <w:tcPr>
            <w:tcW w:w="3420" w:type="dxa"/>
            <w:tcBorders>
              <w:top w:val="single" w:sz="6" w:space="0" w:color="auto"/>
              <w:left w:val="single" w:sz="6" w:space="0" w:color="auto"/>
              <w:bottom w:val="single" w:sz="6" w:space="0" w:color="auto"/>
            </w:tcBorders>
          </w:tcPr>
          <w:p w:rsidR="00D56FC1" w:rsidRDefault="00D56FC1" w:rsidP="00D56FC1">
            <w:pPr>
              <w:jc w:val="center"/>
            </w:pPr>
            <w:r w:rsidRPr="006771A0">
              <w:t>$11.3</w:t>
            </w:r>
          </w:p>
        </w:tc>
      </w:tr>
      <w:tr w:rsidR="00D56FC1" w:rsidRPr="006771A0" w:rsidTr="005D02DB">
        <w:tblPrEx>
          <w:tblCellMar>
            <w:top w:w="0" w:type="dxa"/>
            <w:bottom w:w="0" w:type="dxa"/>
          </w:tblCellMar>
        </w:tblPrEx>
        <w:trPr>
          <w:trHeight w:val="250"/>
        </w:trPr>
        <w:tc>
          <w:tcPr>
            <w:tcW w:w="3105" w:type="dxa"/>
            <w:tcBorders>
              <w:top w:val="single" w:sz="6" w:space="0" w:color="auto"/>
              <w:bottom w:val="double" w:sz="4" w:space="0" w:color="auto"/>
              <w:right w:val="single" w:sz="6" w:space="0" w:color="auto"/>
            </w:tcBorders>
          </w:tcPr>
          <w:p w:rsidR="00D56FC1" w:rsidRDefault="00D56FC1" w:rsidP="00D56FC1">
            <w:pPr>
              <w:rPr>
                <w:snapToGrid w:val="0"/>
                <w:color w:val="000000"/>
              </w:rPr>
            </w:pPr>
            <w:r>
              <w:rPr>
                <w:snapToGrid w:val="0"/>
                <w:color w:val="000000"/>
              </w:rPr>
              <w:t xml:space="preserve">President Obama’s 2011 </w:t>
            </w:r>
            <w:proofErr w:type="spellStart"/>
            <w:r>
              <w:rPr>
                <w:snapToGrid w:val="0"/>
                <w:color w:val="000000"/>
              </w:rPr>
              <w:t>SotU</w:t>
            </w:r>
            <w:proofErr w:type="spellEnd"/>
          </w:p>
        </w:tc>
        <w:tc>
          <w:tcPr>
            <w:tcW w:w="2790" w:type="dxa"/>
            <w:tcBorders>
              <w:top w:val="single" w:sz="6" w:space="0" w:color="auto"/>
              <w:left w:val="single" w:sz="6" w:space="0" w:color="auto"/>
              <w:bottom w:val="double" w:sz="4" w:space="0" w:color="auto"/>
              <w:right w:val="single" w:sz="6" w:space="0" w:color="auto"/>
            </w:tcBorders>
          </w:tcPr>
          <w:p w:rsidR="00D56FC1" w:rsidRPr="006771A0" w:rsidRDefault="009A313E" w:rsidP="00D56FC1">
            <w:pPr>
              <w:jc w:val="center"/>
            </w:pPr>
            <w:r>
              <w:t>$39.01</w:t>
            </w:r>
          </w:p>
        </w:tc>
        <w:tc>
          <w:tcPr>
            <w:tcW w:w="3420" w:type="dxa"/>
            <w:tcBorders>
              <w:top w:val="single" w:sz="6" w:space="0" w:color="auto"/>
              <w:left w:val="single" w:sz="6" w:space="0" w:color="auto"/>
              <w:bottom w:val="double" w:sz="4" w:space="0" w:color="auto"/>
            </w:tcBorders>
          </w:tcPr>
          <w:p w:rsidR="00D56FC1" w:rsidRPr="006771A0" w:rsidRDefault="009A313E" w:rsidP="00D56FC1">
            <w:pPr>
              <w:jc w:val="center"/>
            </w:pPr>
            <w:r>
              <w:t>($15.6)</w:t>
            </w:r>
          </w:p>
        </w:tc>
      </w:tr>
      <w:tr w:rsidR="00D56FC1" w:rsidTr="005D02DB">
        <w:tblPrEx>
          <w:tblCellMar>
            <w:top w:w="0" w:type="dxa"/>
            <w:bottom w:w="0" w:type="dxa"/>
          </w:tblCellMar>
        </w:tblPrEx>
        <w:trPr>
          <w:trHeight w:val="484"/>
        </w:trPr>
        <w:tc>
          <w:tcPr>
            <w:tcW w:w="9315" w:type="dxa"/>
            <w:gridSpan w:val="3"/>
            <w:tcBorders>
              <w:top w:val="nil"/>
            </w:tcBorders>
          </w:tcPr>
          <w:p w:rsidR="00D56FC1" w:rsidRPr="00E93A01" w:rsidRDefault="00D56FC1" w:rsidP="00D56FC1">
            <w:pPr>
              <w:rPr>
                <w:snapToGrid w:val="0"/>
                <w:color w:val="000000"/>
                <w:sz w:val="18"/>
                <w:szCs w:val="18"/>
              </w:rPr>
            </w:pPr>
            <w:r w:rsidRPr="00E93A01">
              <w:rPr>
                <w:snapToGrid w:val="0"/>
                <w:color w:val="000000"/>
                <w:sz w:val="18"/>
                <w:szCs w:val="18"/>
              </w:rPr>
              <w:t>*Historically Presidents do not give State of the Union addresses their first year in o</w:t>
            </w:r>
            <w:r w:rsidR="00E93A01" w:rsidRPr="00E93A01">
              <w:rPr>
                <w:snapToGrid w:val="0"/>
                <w:color w:val="000000"/>
                <w:sz w:val="18"/>
                <w:szCs w:val="18"/>
              </w:rPr>
              <w:t xml:space="preserve">ffice (2001 for President Bush, </w:t>
            </w:r>
            <w:r w:rsidRPr="00E93A01">
              <w:rPr>
                <w:snapToGrid w:val="0"/>
                <w:color w:val="000000"/>
                <w:sz w:val="18"/>
                <w:szCs w:val="18"/>
              </w:rPr>
              <w:t>2009 for President Obama).</w:t>
            </w:r>
          </w:p>
        </w:tc>
      </w:tr>
    </w:tbl>
    <w:p w:rsidR="009F1531" w:rsidRDefault="009F1531"/>
    <w:p w:rsidR="009F1531" w:rsidRDefault="009F1531"/>
    <w:p w:rsidR="0030188F" w:rsidRDefault="0030188F"/>
    <w:p w:rsidR="0030188F" w:rsidRPr="009F1531" w:rsidRDefault="00864422">
      <w:r>
        <w:rPr>
          <w:noProof/>
        </w:rPr>
        <w:lastRenderedPageBreak/>
        <w:drawing>
          <wp:inline distT="0" distB="0" distL="0" distR="0">
            <wp:extent cx="5939790" cy="4645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39790" cy="4645025"/>
                    </a:xfrm>
                    <a:prstGeom prst="rect">
                      <a:avLst/>
                    </a:prstGeom>
                    <a:noFill/>
                    <a:ln w="9525">
                      <a:noFill/>
                      <a:miter lim="800000"/>
                      <a:headEnd/>
                      <a:tailEnd/>
                    </a:ln>
                  </pic:spPr>
                </pic:pic>
              </a:graphicData>
            </a:graphic>
          </wp:inline>
        </w:drawing>
      </w:r>
    </w:p>
    <w:p w:rsidR="0030188F" w:rsidRPr="00836468" w:rsidRDefault="0030188F" w:rsidP="00806F97">
      <w:pPr>
        <w:tabs>
          <w:tab w:val="left" w:pos="180"/>
        </w:tabs>
        <w:jc w:val="center"/>
        <w:rPr>
          <w:snapToGrid w:val="0"/>
          <w:color w:val="000000"/>
          <w:sz w:val="18"/>
          <w:szCs w:val="18"/>
        </w:rPr>
      </w:pPr>
      <w:r w:rsidRPr="00D10D98">
        <w:rPr>
          <w:sz w:val="18"/>
          <w:szCs w:val="18"/>
        </w:rPr>
        <w:t>*</w:t>
      </w:r>
      <w:r>
        <w:rPr>
          <w:sz w:val="18"/>
          <w:szCs w:val="18"/>
        </w:rPr>
        <w:t xml:space="preserve"> </w:t>
      </w:r>
      <w:r w:rsidRPr="00D10D98">
        <w:rPr>
          <w:snapToGrid w:val="0"/>
          <w:color w:val="000000"/>
          <w:sz w:val="18"/>
          <w:szCs w:val="18"/>
        </w:rPr>
        <w:t>Historically Presidents do not give State of the Union addresses their first year in office (2001 for President Bush</w:t>
      </w:r>
      <w:r>
        <w:rPr>
          <w:snapToGrid w:val="0"/>
          <w:color w:val="000000"/>
          <w:sz w:val="18"/>
          <w:szCs w:val="18"/>
        </w:rPr>
        <w:t>, 2009 for</w:t>
      </w:r>
      <w:r w:rsidR="00806F97">
        <w:rPr>
          <w:snapToGrid w:val="0"/>
          <w:color w:val="000000"/>
          <w:sz w:val="18"/>
          <w:szCs w:val="18"/>
        </w:rPr>
        <w:t xml:space="preserve"> </w:t>
      </w:r>
      <w:r>
        <w:rPr>
          <w:snapToGrid w:val="0"/>
          <w:color w:val="000000"/>
          <w:sz w:val="18"/>
          <w:szCs w:val="18"/>
        </w:rPr>
        <w:t>President Obama</w:t>
      </w:r>
      <w:r w:rsidRPr="00D10D98">
        <w:rPr>
          <w:snapToGrid w:val="0"/>
          <w:color w:val="000000"/>
          <w:sz w:val="18"/>
          <w:szCs w:val="18"/>
        </w:rPr>
        <w:t>).</w:t>
      </w:r>
    </w:p>
    <w:p w:rsidR="009F1531" w:rsidRDefault="009F1531"/>
    <w:p w:rsidR="0030188F" w:rsidRPr="009F1531" w:rsidRDefault="0030188F"/>
    <w:sectPr w:rsidR="0030188F" w:rsidRPr="009F1531" w:rsidSect="00493C5A">
      <w:headerReference w:type="default" r:id="rId7"/>
      <w:pgSz w:w="12240" w:h="15840"/>
      <w:pgMar w:top="1440" w:right="18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F97" w:rsidRDefault="00806F97" w:rsidP="00806F97">
      <w:r>
        <w:separator/>
      </w:r>
    </w:p>
  </w:endnote>
  <w:endnote w:type="continuationSeparator" w:id="0">
    <w:p w:rsidR="00806F97" w:rsidRDefault="00806F97" w:rsidP="00806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F97" w:rsidRDefault="00806F97" w:rsidP="00806F97">
      <w:r>
        <w:separator/>
      </w:r>
    </w:p>
  </w:footnote>
  <w:footnote w:type="continuationSeparator" w:id="0">
    <w:p w:rsidR="00806F97" w:rsidRDefault="00806F97" w:rsidP="00806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97" w:rsidRDefault="00806F97" w:rsidP="00806F97">
    <w:pPr>
      <w:pStyle w:val="Header"/>
      <w:jc w:val="center"/>
    </w:pPr>
    <w:r w:rsidRPr="00806F97">
      <w:drawing>
        <wp:inline distT="0" distB="0" distL="0" distR="0">
          <wp:extent cx="1598295" cy="652145"/>
          <wp:effectExtent l="19050" t="0" r="1905" b="0"/>
          <wp:docPr id="2" name="Picture 1" descr="Description: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2758"/>
                  <pic:cNvPicPr>
                    <a:picLocks noChangeAspect="1" noChangeArrowheads="1"/>
                  </pic:cNvPicPr>
                </pic:nvPicPr>
                <pic:blipFill>
                  <a:blip r:embed="rId1"/>
                  <a:srcRect/>
                  <a:stretch>
                    <a:fillRect/>
                  </a:stretch>
                </pic:blipFill>
                <pic:spPr bwMode="auto">
                  <a:xfrm>
                    <a:off x="0" y="0"/>
                    <a:ext cx="1598295" cy="65214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characterSpacingControl w:val="doNotCompress"/>
  <w:footnotePr>
    <w:footnote w:id="-1"/>
    <w:footnote w:id="0"/>
  </w:footnotePr>
  <w:endnotePr>
    <w:endnote w:id="-1"/>
    <w:endnote w:id="0"/>
  </w:endnotePr>
  <w:compat/>
  <w:rsids>
    <w:rsidRoot w:val="004943A4"/>
    <w:rsid w:val="00076675"/>
    <w:rsid w:val="000C71FB"/>
    <w:rsid w:val="00191497"/>
    <w:rsid w:val="00242742"/>
    <w:rsid w:val="002A1C16"/>
    <w:rsid w:val="002D4E19"/>
    <w:rsid w:val="0030188F"/>
    <w:rsid w:val="00336BBE"/>
    <w:rsid w:val="003F05E2"/>
    <w:rsid w:val="0048279E"/>
    <w:rsid w:val="00493C5A"/>
    <w:rsid w:val="004943A4"/>
    <w:rsid w:val="004C51C9"/>
    <w:rsid w:val="004D1655"/>
    <w:rsid w:val="005D02DB"/>
    <w:rsid w:val="00612635"/>
    <w:rsid w:val="00632BE0"/>
    <w:rsid w:val="00706CE4"/>
    <w:rsid w:val="00734E40"/>
    <w:rsid w:val="007A04D2"/>
    <w:rsid w:val="00800882"/>
    <w:rsid w:val="00806F97"/>
    <w:rsid w:val="00836468"/>
    <w:rsid w:val="00864422"/>
    <w:rsid w:val="00920129"/>
    <w:rsid w:val="009A313E"/>
    <w:rsid w:val="009A3477"/>
    <w:rsid w:val="009F1531"/>
    <w:rsid w:val="00A574AE"/>
    <w:rsid w:val="00B662C0"/>
    <w:rsid w:val="00BB74B6"/>
    <w:rsid w:val="00D56FC1"/>
    <w:rsid w:val="00DF2B06"/>
    <w:rsid w:val="00E119D6"/>
    <w:rsid w:val="00E93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94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F05E2"/>
    <w:rPr>
      <w:color w:val="0000FF"/>
      <w:u w:val="single"/>
    </w:rPr>
  </w:style>
  <w:style w:type="paragraph" w:styleId="Header">
    <w:name w:val="header"/>
    <w:basedOn w:val="Normal"/>
    <w:link w:val="HeaderChar"/>
    <w:rsid w:val="00806F97"/>
    <w:pPr>
      <w:tabs>
        <w:tab w:val="center" w:pos="4680"/>
        <w:tab w:val="right" w:pos="9360"/>
      </w:tabs>
    </w:pPr>
  </w:style>
  <w:style w:type="character" w:customStyle="1" w:styleId="HeaderChar">
    <w:name w:val="Header Char"/>
    <w:basedOn w:val="DefaultParagraphFont"/>
    <w:link w:val="Header"/>
    <w:rsid w:val="00806F97"/>
    <w:rPr>
      <w:sz w:val="24"/>
      <w:szCs w:val="24"/>
    </w:rPr>
  </w:style>
  <w:style w:type="paragraph" w:styleId="Footer">
    <w:name w:val="footer"/>
    <w:basedOn w:val="Normal"/>
    <w:link w:val="FooterChar"/>
    <w:rsid w:val="00806F97"/>
    <w:pPr>
      <w:tabs>
        <w:tab w:val="center" w:pos="4680"/>
        <w:tab w:val="right" w:pos="9360"/>
      </w:tabs>
    </w:pPr>
  </w:style>
  <w:style w:type="character" w:customStyle="1" w:styleId="FooterChar">
    <w:name w:val="Footer Char"/>
    <w:basedOn w:val="DefaultParagraphFont"/>
    <w:link w:val="Footer"/>
    <w:rsid w:val="00806F97"/>
    <w:rPr>
      <w:sz w:val="24"/>
      <w:szCs w:val="24"/>
    </w:rPr>
  </w:style>
  <w:style w:type="paragraph" w:styleId="BalloonText">
    <w:name w:val="Balloon Text"/>
    <w:basedOn w:val="Normal"/>
    <w:link w:val="BalloonTextChar"/>
    <w:rsid w:val="00806F97"/>
    <w:rPr>
      <w:rFonts w:ascii="Tahoma" w:hAnsi="Tahoma" w:cs="Tahoma"/>
      <w:sz w:val="16"/>
      <w:szCs w:val="16"/>
    </w:rPr>
  </w:style>
  <w:style w:type="character" w:customStyle="1" w:styleId="BalloonTextChar">
    <w:name w:val="Balloon Text Char"/>
    <w:basedOn w:val="DefaultParagraphFont"/>
    <w:link w:val="BalloonText"/>
    <w:rsid w:val="00806F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9587829">
      <w:bodyDiv w:val="1"/>
      <w:marLeft w:val="0"/>
      <w:marRight w:val="0"/>
      <w:marTop w:val="0"/>
      <w:marBottom w:val="0"/>
      <w:divBdr>
        <w:top w:val="none" w:sz="0" w:space="0" w:color="auto"/>
        <w:left w:val="none" w:sz="0" w:space="0" w:color="auto"/>
        <w:bottom w:val="none" w:sz="0" w:space="0" w:color="auto"/>
        <w:right w:val="none" w:sz="0" w:space="0" w:color="auto"/>
      </w:divBdr>
    </w:div>
    <w:div w:id="1869371373">
      <w:bodyDiv w:val="1"/>
      <w:marLeft w:val="0"/>
      <w:marRight w:val="0"/>
      <w:marTop w:val="0"/>
      <w:marBottom w:val="0"/>
      <w:divBdr>
        <w:top w:val="none" w:sz="0" w:space="0" w:color="auto"/>
        <w:left w:val="none" w:sz="0" w:space="0" w:color="auto"/>
        <w:bottom w:val="none" w:sz="0" w:space="0" w:color="auto"/>
        <w:right w:val="none" w:sz="0" w:space="0" w:color="auto"/>
      </w:divBdr>
    </w:div>
    <w:div w:id="20390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1419</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Item</vt:lpstr>
    </vt:vector>
  </TitlesOfParts>
  <Company>NTU</Company>
  <LinksUpToDate>false</LinksUpToDate>
  <CharactersWithSpaces>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dc:title>
  <dc:creator>demian</dc:creator>
  <cp:lastModifiedBy>Dbarrett</cp:lastModifiedBy>
  <cp:revision>3</cp:revision>
  <dcterms:created xsi:type="dcterms:W3CDTF">2015-01-16T17:07:00Z</dcterms:created>
  <dcterms:modified xsi:type="dcterms:W3CDTF">2015-01-16T17:08:00Z</dcterms:modified>
</cp:coreProperties>
</file>